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BF" w:rsidRDefault="00ED0FF4" w:rsidP="00D252BF">
      <w:pPr>
        <w:spacing w:after="120" w:line="288" w:lineRule="auto"/>
        <w:jc w:val="center"/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</w:pPr>
      <w:r>
        <w:rPr>
          <w:b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58240" behindDoc="1" locked="0" layoutInCell="1" allowOverlap="1" wp14:anchorId="704C972E">
            <wp:simplePos x="0" y="0"/>
            <wp:positionH relativeFrom="column">
              <wp:posOffset>-880746</wp:posOffset>
            </wp:positionH>
            <wp:positionV relativeFrom="paragraph">
              <wp:posOffset>-490221</wp:posOffset>
            </wp:positionV>
            <wp:extent cx="7515225" cy="9497365"/>
            <wp:effectExtent l="0" t="0" r="0" b="889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P-okladka-AKZ1-2018061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033" cy="9507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2BF" w:rsidRDefault="00D252BF" w:rsidP="00D252BF">
      <w:pPr>
        <w:spacing w:after="120" w:line="288" w:lineRule="auto"/>
        <w:jc w:val="center"/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</w:pPr>
    </w:p>
    <w:p w:rsidR="00D252BF" w:rsidRDefault="00D252BF" w:rsidP="00D252BF">
      <w:pPr>
        <w:spacing w:after="120" w:line="288" w:lineRule="auto"/>
        <w:jc w:val="center"/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</w:pPr>
    </w:p>
    <w:p w:rsidR="00143B94" w:rsidRDefault="00143B94" w:rsidP="00D252BF">
      <w:pPr>
        <w:spacing w:after="120" w:line="288" w:lineRule="auto"/>
        <w:jc w:val="center"/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</w:pPr>
    </w:p>
    <w:p w:rsidR="00143B94" w:rsidRDefault="00143B94" w:rsidP="00D252BF">
      <w:pPr>
        <w:spacing w:after="120" w:line="288" w:lineRule="auto"/>
        <w:jc w:val="center"/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</w:pPr>
    </w:p>
    <w:p w:rsidR="00143B94" w:rsidRDefault="00143B94" w:rsidP="00D252BF">
      <w:pPr>
        <w:spacing w:after="120" w:line="288" w:lineRule="auto"/>
        <w:jc w:val="center"/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</w:pPr>
    </w:p>
    <w:p w:rsidR="00143B94" w:rsidRDefault="00143B94" w:rsidP="00D252BF">
      <w:pPr>
        <w:spacing w:after="120" w:line="288" w:lineRule="auto"/>
        <w:jc w:val="center"/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</w:pPr>
    </w:p>
    <w:p w:rsidR="00D252BF" w:rsidRDefault="00D252BF" w:rsidP="005462F8">
      <w:pPr>
        <w:spacing w:after="0"/>
        <w:jc w:val="center"/>
        <w:rPr>
          <w:b/>
          <w:bCs/>
          <w:sz w:val="23"/>
          <w:szCs w:val="23"/>
        </w:rPr>
      </w:pPr>
    </w:p>
    <w:p w:rsidR="00D252BF" w:rsidRDefault="00D252BF" w:rsidP="005462F8">
      <w:pPr>
        <w:spacing w:after="0"/>
        <w:jc w:val="center"/>
        <w:rPr>
          <w:b/>
          <w:bCs/>
          <w:sz w:val="23"/>
          <w:szCs w:val="23"/>
        </w:rPr>
      </w:pPr>
    </w:p>
    <w:p w:rsidR="00D252BF" w:rsidRDefault="00D252BF" w:rsidP="005462F8">
      <w:pPr>
        <w:spacing w:after="0"/>
        <w:jc w:val="center"/>
        <w:rPr>
          <w:b/>
          <w:bCs/>
          <w:sz w:val="23"/>
          <w:szCs w:val="23"/>
        </w:rPr>
      </w:pPr>
    </w:p>
    <w:p w:rsidR="00D252BF" w:rsidRDefault="00D252BF" w:rsidP="005462F8">
      <w:pPr>
        <w:spacing w:after="0"/>
        <w:jc w:val="center"/>
        <w:rPr>
          <w:b/>
          <w:bCs/>
          <w:sz w:val="23"/>
          <w:szCs w:val="23"/>
        </w:rPr>
      </w:pPr>
    </w:p>
    <w:p w:rsidR="00D252BF" w:rsidRDefault="00D252BF" w:rsidP="005462F8">
      <w:pPr>
        <w:spacing w:after="0"/>
        <w:jc w:val="center"/>
        <w:rPr>
          <w:b/>
          <w:bCs/>
          <w:sz w:val="23"/>
          <w:szCs w:val="23"/>
        </w:rPr>
      </w:pPr>
    </w:p>
    <w:p w:rsidR="00D252BF" w:rsidRDefault="00D252BF" w:rsidP="005462F8">
      <w:pPr>
        <w:spacing w:after="0"/>
        <w:jc w:val="center"/>
        <w:rPr>
          <w:b/>
          <w:bCs/>
          <w:sz w:val="23"/>
          <w:szCs w:val="23"/>
        </w:rPr>
      </w:pPr>
    </w:p>
    <w:p w:rsidR="00D252BF" w:rsidRDefault="00D252BF" w:rsidP="005462F8">
      <w:pPr>
        <w:spacing w:after="0"/>
        <w:jc w:val="center"/>
        <w:rPr>
          <w:b/>
          <w:bCs/>
          <w:sz w:val="23"/>
          <w:szCs w:val="23"/>
        </w:rPr>
      </w:pPr>
    </w:p>
    <w:p w:rsidR="00D252BF" w:rsidRDefault="00D252BF" w:rsidP="005462F8">
      <w:pPr>
        <w:spacing w:after="0"/>
        <w:jc w:val="center"/>
        <w:rPr>
          <w:b/>
          <w:bCs/>
          <w:sz w:val="23"/>
          <w:szCs w:val="23"/>
        </w:rPr>
      </w:pPr>
    </w:p>
    <w:p w:rsidR="00D252BF" w:rsidRDefault="00D252BF" w:rsidP="005462F8">
      <w:pPr>
        <w:spacing w:after="0"/>
        <w:jc w:val="center"/>
        <w:rPr>
          <w:b/>
          <w:bCs/>
          <w:sz w:val="23"/>
          <w:szCs w:val="23"/>
        </w:rPr>
      </w:pPr>
    </w:p>
    <w:p w:rsidR="00D252BF" w:rsidRDefault="00D252BF" w:rsidP="005462F8">
      <w:pPr>
        <w:spacing w:after="0"/>
        <w:jc w:val="center"/>
        <w:rPr>
          <w:b/>
          <w:bCs/>
          <w:sz w:val="23"/>
          <w:szCs w:val="23"/>
        </w:rPr>
      </w:pPr>
    </w:p>
    <w:p w:rsidR="00D252BF" w:rsidRDefault="00D252BF" w:rsidP="005462F8">
      <w:pPr>
        <w:spacing w:after="0"/>
        <w:jc w:val="center"/>
        <w:rPr>
          <w:b/>
          <w:bCs/>
          <w:sz w:val="23"/>
          <w:szCs w:val="23"/>
        </w:rPr>
      </w:pPr>
    </w:p>
    <w:p w:rsidR="00ED0FF4" w:rsidRDefault="00ED0FF4" w:rsidP="00ED0FF4">
      <w:pPr>
        <w:spacing w:after="0"/>
        <w:jc w:val="center"/>
        <w:rPr>
          <w:b/>
          <w:bCs/>
          <w:color w:val="2476A4"/>
          <w:sz w:val="36"/>
          <w:szCs w:val="36"/>
        </w:rPr>
      </w:pPr>
    </w:p>
    <w:p w:rsidR="00ED0FF4" w:rsidRDefault="00ED0FF4" w:rsidP="00ED0FF4">
      <w:pPr>
        <w:spacing w:after="0"/>
        <w:jc w:val="center"/>
        <w:rPr>
          <w:b/>
          <w:bCs/>
          <w:color w:val="2476A4"/>
          <w:sz w:val="36"/>
          <w:szCs w:val="36"/>
        </w:rPr>
      </w:pPr>
    </w:p>
    <w:p w:rsidR="00ED0FF4" w:rsidRDefault="00ED0FF4" w:rsidP="00ED0FF4">
      <w:pPr>
        <w:spacing w:after="0"/>
        <w:jc w:val="center"/>
        <w:rPr>
          <w:b/>
          <w:bCs/>
          <w:color w:val="2476A4"/>
          <w:sz w:val="36"/>
          <w:szCs w:val="36"/>
        </w:rPr>
      </w:pPr>
    </w:p>
    <w:p w:rsidR="00ED0FF4" w:rsidRDefault="00ED0FF4" w:rsidP="00ED0FF4">
      <w:pPr>
        <w:spacing w:after="0"/>
        <w:jc w:val="center"/>
        <w:rPr>
          <w:b/>
          <w:bCs/>
          <w:color w:val="2476A4"/>
          <w:sz w:val="36"/>
          <w:szCs w:val="36"/>
        </w:rPr>
      </w:pPr>
    </w:p>
    <w:p w:rsidR="00ED0FF4" w:rsidRDefault="00ED0FF4" w:rsidP="00ED0FF4">
      <w:pPr>
        <w:spacing w:after="0"/>
        <w:jc w:val="center"/>
        <w:rPr>
          <w:b/>
          <w:bCs/>
          <w:color w:val="2476A4"/>
          <w:sz w:val="36"/>
          <w:szCs w:val="36"/>
        </w:rPr>
      </w:pPr>
    </w:p>
    <w:p w:rsidR="00ED0FF4" w:rsidRDefault="00ED0FF4" w:rsidP="00ED0FF4">
      <w:pPr>
        <w:spacing w:after="0"/>
        <w:jc w:val="center"/>
        <w:rPr>
          <w:b/>
          <w:bCs/>
          <w:color w:val="2476A4"/>
          <w:sz w:val="36"/>
          <w:szCs w:val="36"/>
        </w:rPr>
      </w:pPr>
    </w:p>
    <w:p w:rsidR="00ED0FF4" w:rsidRDefault="00ED0FF4" w:rsidP="00ED0FF4">
      <w:pPr>
        <w:spacing w:after="0"/>
        <w:jc w:val="center"/>
        <w:rPr>
          <w:b/>
          <w:bCs/>
          <w:color w:val="2476A4"/>
          <w:sz w:val="36"/>
          <w:szCs w:val="36"/>
        </w:rPr>
      </w:pPr>
    </w:p>
    <w:p w:rsidR="00ED0FF4" w:rsidRPr="00ED0FF4" w:rsidRDefault="00D27341" w:rsidP="00ED0FF4">
      <w:pPr>
        <w:spacing w:before="120" w:after="0"/>
        <w:jc w:val="center"/>
        <w:rPr>
          <w:b/>
          <w:bCs/>
          <w:color w:val="2476A4"/>
          <w:sz w:val="36"/>
          <w:szCs w:val="36"/>
        </w:rPr>
      </w:pPr>
      <w:r w:rsidRPr="00ED0FF4">
        <w:rPr>
          <w:b/>
          <w:bCs/>
          <w:color w:val="2476A4"/>
          <w:sz w:val="36"/>
          <w:szCs w:val="36"/>
        </w:rPr>
        <w:t>dane za rok 2017</w:t>
      </w:r>
      <w:r w:rsidR="00ED0FF4" w:rsidRPr="00ED0FF4">
        <w:rPr>
          <w:b/>
          <w:bCs/>
          <w:color w:val="2476A4"/>
          <w:sz w:val="36"/>
          <w:szCs w:val="36"/>
        </w:rPr>
        <w:br w:type="page"/>
      </w:r>
    </w:p>
    <w:p w:rsidR="00D344C2" w:rsidRPr="0059501A" w:rsidRDefault="00D344C2" w:rsidP="005462F8">
      <w:pPr>
        <w:spacing w:after="0"/>
        <w:jc w:val="center"/>
        <w:rPr>
          <w:b/>
          <w:bCs/>
          <w:sz w:val="23"/>
          <w:szCs w:val="23"/>
        </w:rPr>
      </w:pPr>
    </w:p>
    <w:p w:rsidR="005462F8" w:rsidRPr="00232A8F" w:rsidRDefault="005462F8" w:rsidP="00143B94">
      <w:pPr>
        <w:spacing w:after="0"/>
        <w:jc w:val="right"/>
        <w:rPr>
          <w:rFonts w:cstheme="minorHAnsi"/>
          <w:b/>
          <w:color w:val="000000"/>
          <w:sz w:val="32"/>
          <w:szCs w:val="32"/>
        </w:rPr>
      </w:pPr>
    </w:p>
    <w:p w:rsidR="00590A40" w:rsidRPr="00D252BF" w:rsidRDefault="00590A40" w:rsidP="00D252BF">
      <w:pPr>
        <w:shd w:val="clear" w:color="auto" w:fill="BDD6EE"/>
        <w:spacing w:after="120" w:line="288" w:lineRule="auto"/>
        <w:jc w:val="both"/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</w:pPr>
      <w:r w:rsidRPr="00D252BF"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  <w:t>Sytu</w:t>
      </w:r>
      <w:r w:rsidR="008654F8" w:rsidRPr="00D252BF"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  <w:t xml:space="preserve">acja demograficzna kobiet </w:t>
      </w:r>
    </w:p>
    <w:p w:rsidR="005462F8" w:rsidRPr="004B598D" w:rsidRDefault="005462F8" w:rsidP="005462F8">
      <w:pPr>
        <w:pStyle w:val="Default"/>
        <w:tabs>
          <w:tab w:val="left" w:pos="426"/>
        </w:tabs>
        <w:rPr>
          <w:b/>
          <w:bCs/>
          <w:color w:val="auto"/>
          <w:sz w:val="23"/>
          <w:szCs w:val="23"/>
        </w:rPr>
      </w:pPr>
    </w:p>
    <w:p w:rsidR="001B3D21" w:rsidRDefault="00D27341" w:rsidP="001B3D21">
      <w:pPr>
        <w:spacing w:after="60"/>
        <w:jc w:val="both"/>
      </w:pPr>
      <w:r w:rsidRPr="0059501A">
        <w:t>Województwo pomorskie ma</w:t>
      </w:r>
      <w:r w:rsidR="00590A40" w:rsidRPr="0059501A">
        <w:t xml:space="preserve"> 2</w:t>
      </w:r>
      <w:r w:rsidR="00E21CC6" w:rsidRPr="0059501A">
        <w:t> </w:t>
      </w:r>
      <w:r w:rsidR="00590A40" w:rsidRPr="0059501A">
        <w:t>3</w:t>
      </w:r>
      <w:r w:rsidR="008654F8" w:rsidRPr="0059501A">
        <w:t>24</w:t>
      </w:r>
      <w:r w:rsidR="00E21CC6" w:rsidRPr="0059501A">
        <w:t xml:space="preserve">,3 tys. </w:t>
      </w:r>
      <w:r w:rsidR="00590A40" w:rsidRPr="0059501A">
        <w:t>mieszkańców, z czego 51,3% stanowi</w:t>
      </w:r>
      <w:r w:rsidRPr="0059501A">
        <w:t>ą</w:t>
      </w:r>
      <w:r w:rsidR="00590A40" w:rsidRPr="0059501A">
        <w:t xml:space="preserve"> kobiety </w:t>
      </w:r>
      <w:r w:rsidR="008654F8" w:rsidRPr="0059501A">
        <w:t>(1</w:t>
      </w:r>
      <w:r w:rsidR="00E21CC6" w:rsidRPr="0059501A">
        <w:t> </w:t>
      </w:r>
      <w:r w:rsidR="008654F8" w:rsidRPr="0059501A">
        <w:t>192</w:t>
      </w:r>
      <w:r w:rsidR="00E21CC6" w:rsidRPr="0059501A">
        <w:t>,</w:t>
      </w:r>
      <w:r w:rsidR="008654F8" w:rsidRPr="0059501A">
        <w:t> </w:t>
      </w:r>
      <w:r w:rsidR="00E21CC6" w:rsidRPr="0059501A">
        <w:t>3 tys.</w:t>
      </w:r>
      <w:r w:rsidRPr="0059501A">
        <w:t>),</w:t>
      </w:r>
      <w:r w:rsidR="008654F8" w:rsidRPr="00A77B5E">
        <w:rPr>
          <w:color w:val="C49A00" w:themeColor="accent1" w:themeShade="BF"/>
        </w:rPr>
        <w:t xml:space="preserve"> </w:t>
      </w:r>
      <w:r w:rsidR="00465146" w:rsidRPr="00465146">
        <w:t>z medianą</w:t>
      </w:r>
      <w:r w:rsidR="00ED38A7">
        <w:rPr>
          <w:rStyle w:val="Odwoanieprzypisudolnego"/>
        </w:rPr>
        <w:footnoteReference w:id="1"/>
      </w:r>
      <w:r w:rsidR="00590A40" w:rsidRPr="00465146">
        <w:t xml:space="preserve"> wieku </w:t>
      </w:r>
      <w:r w:rsidR="00465146" w:rsidRPr="00465146">
        <w:t>40,</w:t>
      </w:r>
      <w:r w:rsidR="00FF3B58">
        <w:t>7 lat</w:t>
      </w:r>
      <w:r w:rsidR="00590A40" w:rsidRPr="00465146">
        <w:t xml:space="preserve"> (mężczyźni </w:t>
      </w:r>
      <w:r w:rsidR="00FF3B58">
        <w:t>38,0</w:t>
      </w:r>
      <w:r w:rsidR="00590A40" w:rsidRPr="00465146">
        <w:t xml:space="preserve"> lat</w:t>
      </w:r>
      <w:r w:rsidR="00B76035">
        <w:t>)</w:t>
      </w:r>
      <w:r w:rsidR="00590A40" w:rsidRPr="00465146">
        <w:t xml:space="preserve">. </w:t>
      </w:r>
    </w:p>
    <w:p w:rsidR="00B76035" w:rsidRDefault="001466DE" w:rsidP="001B3D21">
      <w:pPr>
        <w:spacing w:after="60"/>
        <w:jc w:val="both"/>
      </w:pPr>
      <w:r w:rsidRPr="001466DE">
        <w:t xml:space="preserve">Rodzi się mniej dziewczynek niż chłopców, ale </w:t>
      </w:r>
      <w:r w:rsidR="00074E3F">
        <w:t xml:space="preserve">przeciętne </w:t>
      </w:r>
      <w:r w:rsidRPr="001466DE">
        <w:t>trwanie życia kobiet jest znacznie dłuższe</w:t>
      </w:r>
      <w:r>
        <w:t xml:space="preserve"> </w:t>
      </w:r>
      <w:r w:rsidR="00074E3F">
        <w:t>niż mężczyzn</w:t>
      </w:r>
      <w:r w:rsidR="001A3E22">
        <w:t>. Kobiety w regionie żyją średnio 81,4 lata, tj. siedem lat dłużej niż mężczyźni</w:t>
      </w:r>
      <w:r w:rsidR="00DA3AF9">
        <w:rPr>
          <w:rStyle w:val="Odwoanieprzypisudolnego"/>
        </w:rPr>
        <w:footnoteReference w:id="2"/>
      </w:r>
      <w:r w:rsidR="00B76035">
        <w:t>.</w:t>
      </w:r>
    </w:p>
    <w:p w:rsidR="00C8153F" w:rsidRDefault="00590A40" w:rsidP="001B3D21">
      <w:pPr>
        <w:spacing w:after="60"/>
        <w:jc w:val="both"/>
      </w:pPr>
      <w:r w:rsidRPr="0059501A">
        <w:t>Współczynnik feminizacji określający ile kobiet przypada na 100 mężczyzn dla województwa pomorskiego jest na poziom</w:t>
      </w:r>
      <w:r w:rsidR="007818EC" w:rsidRPr="0059501A">
        <w:t>i</w:t>
      </w:r>
      <w:r w:rsidRPr="0059501A">
        <w:t>e 105</w:t>
      </w:r>
      <w:r w:rsidR="007818EC" w:rsidRPr="0059501A">
        <w:t xml:space="preserve"> i wynika ze znacznej przewagi kobiet</w:t>
      </w:r>
      <w:r w:rsidR="004C0DC1" w:rsidRPr="0059501A">
        <w:t xml:space="preserve"> </w:t>
      </w:r>
      <w:r w:rsidR="007818EC" w:rsidRPr="0059501A">
        <w:t xml:space="preserve">w starszych grupach wiekowych. </w:t>
      </w:r>
    </w:p>
    <w:p w:rsidR="00FF3B58" w:rsidRDefault="007818EC" w:rsidP="001B3D21">
      <w:pPr>
        <w:spacing w:after="60"/>
        <w:jc w:val="both"/>
      </w:pPr>
      <w:r w:rsidRPr="0059501A">
        <w:t>Pierwszą grupą, w której liczba kobiet przewyższa mężczyzn</w:t>
      </w:r>
      <w:r w:rsidR="004C0DC1" w:rsidRPr="0059501A">
        <w:t xml:space="preserve"> (o 900 osób)</w:t>
      </w:r>
      <w:r w:rsidRPr="0059501A">
        <w:t xml:space="preserve"> to 50-54 lata i różnica ta wzrasta wraz z wiekiem</w:t>
      </w:r>
      <w:r w:rsidR="00895E25" w:rsidRPr="0059501A">
        <w:t xml:space="preserve"> (</w:t>
      </w:r>
      <w:r w:rsidRPr="0059501A">
        <w:t>w wieku 70 lat i więcej kobiet jest o 55 tys. więcej niż mężczyzn).</w:t>
      </w:r>
      <w:r w:rsidR="00C8153F">
        <w:t xml:space="preserve"> </w:t>
      </w:r>
      <w:r w:rsidR="00FF3B58">
        <w:t>W związku z</w:t>
      </w:r>
      <w:r w:rsidR="00D252BF">
        <w:t> </w:t>
      </w:r>
      <w:r w:rsidR="00FF3B58">
        <w:t>tym Indeks starości dla kobiet jest znacznie wyższy niż dla płci przeciwnej -  116 kobiet w wieku 65 lat i więcej przypada na 100 kobiet w wieku 0-14 lat (mężczyzn</w:t>
      </w:r>
      <w:r w:rsidR="00C8153F">
        <w:t xml:space="preserve"> – 76).</w:t>
      </w:r>
    </w:p>
    <w:p w:rsidR="00590A40" w:rsidRDefault="007818EC" w:rsidP="001B3D21">
      <w:pPr>
        <w:spacing w:after="60"/>
        <w:jc w:val="both"/>
      </w:pPr>
      <w:r w:rsidRPr="00A00211">
        <w:rPr>
          <w:b/>
        </w:rPr>
        <w:t>W</w:t>
      </w:r>
      <w:r w:rsidR="00263A5C" w:rsidRPr="00A00211">
        <w:rPr>
          <w:b/>
        </w:rPr>
        <w:t xml:space="preserve"> młodszych grupach wiekowych </w:t>
      </w:r>
      <w:r w:rsidR="004C0DC1" w:rsidRPr="00A00211">
        <w:rPr>
          <w:b/>
        </w:rPr>
        <w:t xml:space="preserve">w województwie pomorskim </w:t>
      </w:r>
      <w:r w:rsidR="00263A5C" w:rsidRPr="00A00211">
        <w:rPr>
          <w:b/>
        </w:rPr>
        <w:t>jest więcej mężczyzn niż kobiet</w:t>
      </w:r>
      <w:r w:rsidR="00263A5C" w:rsidRPr="00A00211">
        <w:t xml:space="preserve">. </w:t>
      </w:r>
    </w:p>
    <w:p w:rsidR="001B3D21" w:rsidRDefault="001B3D21" w:rsidP="001B3D21">
      <w:pPr>
        <w:spacing w:after="60"/>
        <w:jc w:val="both"/>
      </w:pPr>
    </w:p>
    <w:p w:rsidR="00465146" w:rsidRPr="0049558A" w:rsidRDefault="00465146" w:rsidP="00465146">
      <w:pPr>
        <w:jc w:val="both"/>
        <w:rPr>
          <w:rFonts w:cstheme="minorHAnsi"/>
          <w:b/>
          <w:color w:val="C49A00" w:themeColor="accent1" w:themeShade="BF"/>
          <w:sz w:val="20"/>
          <w:szCs w:val="20"/>
        </w:rPr>
      </w:pPr>
      <w:r w:rsidRPr="0049558A">
        <w:rPr>
          <w:b/>
          <w:bCs/>
          <w:sz w:val="20"/>
          <w:szCs w:val="20"/>
        </w:rPr>
        <w:t xml:space="preserve">Wykres </w:t>
      </w:r>
      <w:r w:rsidR="00D57AFB" w:rsidRPr="0049558A">
        <w:rPr>
          <w:b/>
          <w:bCs/>
          <w:sz w:val="20"/>
          <w:szCs w:val="20"/>
        </w:rPr>
        <w:t>1</w:t>
      </w:r>
      <w:r w:rsidRPr="0049558A">
        <w:rPr>
          <w:b/>
          <w:bCs/>
          <w:sz w:val="20"/>
          <w:szCs w:val="20"/>
        </w:rPr>
        <w:t>. Ludność według grup wieku i płci w województwie pomorskim</w:t>
      </w:r>
    </w:p>
    <w:p w:rsidR="001466DE" w:rsidRDefault="00DB4813" w:rsidP="00A77B5E">
      <w:pPr>
        <w:jc w:val="both"/>
      </w:pPr>
      <w:r>
        <w:rPr>
          <w:noProof/>
          <w:lang w:eastAsia="pl-PL"/>
        </w:rPr>
        <w:drawing>
          <wp:inline distT="0" distB="0" distL="0" distR="0" wp14:anchorId="09B04648" wp14:editId="013D4996">
            <wp:extent cx="4819650" cy="401002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446B" w:rsidRPr="0064271B" w:rsidRDefault="00465146" w:rsidP="00A77B5E">
      <w:pPr>
        <w:jc w:val="both"/>
        <w:rPr>
          <w:rFonts w:cstheme="minorHAnsi"/>
          <w:sz w:val="16"/>
          <w:szCs w:val="16"/>
        </w:rPr>
      </w:pPr>
      <w:r w:rsidRPr="005B2BE4">
        <w:rPr>
          <w:rFonts w:cstheme="minorHAnsi"/>
          <w:sz w:val="16"/>
          <w:szCs w:val="16"/>
        </w:rPr>
        <w:t>Źródło: Bank Danych Lokalnych, GUS.</w:t>
      </w:r>
    </w:p>
    <w:p w:rsidR="009A703A" w:rsidRPr="004B598D" w:rsidRDefault="00BB6D4C" w:rsidP="00A77B5E">
      <w:pPr>
        <w:jc w:val="both"/>
        <w:rPr>
          <w:rFonts w:cstheme="minorHAnsi"/>
        </w:rPr>
      </w:pPr>
      <w:r w:rsidRPr="004B598D">
        <w:rPr>
          <w:rFonts w:cstheme="minorHAnsi"/>
        </w:rPr>
        <w:t xml:space="preserve">Struktura ludności wg grup ekonomicznych </w:t>
      </w:r>
      <w:r w:rsidR="009A703A" w:rsidRPr="004B598D">
        <w:rPr>
          <w:rFonts w:cstheme="minorHAnsi"/>
        </w:rPr>
        <w:t xml:space="preserve">pokazuje </w:t>
      </w:r>
      <w:r w:rsidR="009A703A" w:rsidRPr="004B598D">
        <w:rPr>
          <w:rFonts w:cstheme="minorHAnsi"/>
          <w:b/>
        </w:rPr>
        <w:t>przewagę kobiet jedynie w wieku poprodukcyjnym.</w:t>
      </w:r>
      <w:r w:rsidR="009A703A" w:rsidRPr="004B598D">
        <w:rPr>
          <w:rFonts w:cstheme="minorHAnsi"/>
        </w:rPr>
        <w:t xml:space="preserve"> Udział kobiet w wieku produkcyjnym jest </w:t>
      </w:r>
      <w:r w:rsidR="001E446B" w:rsidRPr="004B598D">
        <w:rPr>
          <w:rFonts w:cstheme="minorHAnsi"/>
        </w:rPr>
        <w:t>mniejszy</w:t>
      </w:r>
      <w:r w:rsidR="009D1964" w:rsidRPr="009D1964">
        <w:rPr>
          <w:rFonts w:cstheme="minorHAnsi"/>
        </w:rPr>
        <w:t xml:space="preserve"> </w:t>
      </w:r>
      <w:r w:rsidR="001E446B" w:rsidRPr="004B598D">
        <w:rPr>
          <w:rFonts w:cstheme="minorHAnsi"/>
        </w:rPr>
        <w:t>niż mężczyzn</w:t>
      </w:r>
      <w:r w:rsidR="009D1964">
        <w:rPr>
          <w:rFonts w:cstheme="minorHAnsi"/>
        </w:rPr>
        <w:t xml:space="preserve"> </w:t>
      </w:r>
      <w:r w:rsidR="009D1964" w:rsidRPr="004B598D">
        <w:rPr>
          <w:rFonts w:cstheme="minorHAnsi"/>
        </w:rPr>
        <w:t xml:space="preserve">o </w:t>
      </w:r>
      <w:r w:rsidR="002B59CC">
        <w:rPr>
          <w:rFonts w:cstheme="minorHAnsi"/>
        </w:rPr>
        <w:t>10</w:t>
      </w:r>
      <w:r w:rsidR="009D1964" w:rsidRPr="004B598D">
        <w:rPr>
          <w:rFonts w:cstheme="minorHAnsi"/>
        </w:rPr>
        <w:t xml:space="preserve"> pkt. proc.</w:t>
      </w:r>
      <w:r w:rsidR="001E446B" w:rsidRPr="004B598D">
        <w:rPr>
          <w:rFonts w:cstheme="minorHAnsi"/>
        </w:rPr>
        <w:t xml:space="preserve">, </w:t>
      </w:r>
      <w:r w:rsidR="00757248" w:rsidRPr="004B598D">
        <w:rPr>
          <w:rFonts w:cstheme="minorHAnsi"/>
        </w:rPr>
        <w:br/>
      </w:r>
      <w:r w:rsidR="001E446B" w:rsidRPr="004B598D">
        <w:rPr>
          <w:rFonts w:cstheme="minorHAnsi"/>
        </w:rPr>
        <w:t xml:space="preserve">w wieku przedprodukcyjnym o </w:t>
      </w:r>
      <w:r w:rsidR="002B59CC">
        <w:rPr>
          <w:rFonts w:cstheme="minorHAnsi"/>
        </w:rPr>
        <w:t>1</w:t>
      </w:r>
      <w:r w:rsidR="001E446B" w:rsidRPr="004B598D">
        <w:rPr>
          <w:rFonts w:cstheme="minorHAnsi"/>
        </w:rPr>
        <w:t xml:space="preserve"> pkt. proc.</w:t>
      </w:r>
    </w:p>
    <w:p w:rsidR="00590A40" w:rsidRPr="0049558A" w:rsidRDefault="00465146" w:rsidP="00DE77E3">
      <w:pPr>
        <w:jc w:val="both"/>
        <w:rPr>
          <w:rFonts w:cstheme="minorHAnsi"/>
          <w:b/>
          <w:color w:val="C49A00" w:themeColor="accent1" w:themeShade="BF"/>
          <w:sz w:val="20"/>
          <w:szCs w:val="20"/>
        </w:rPr>
      </w:pPr>
      <w:r w:rsidRPr="0049558A">
        <w:rPr>
          <w:b/>
          <w:bCs/>
          <w:sz w:val="20"/>
          <w:szCs w:val="20"/>
        </w:rPr>
        <w:t>Wykres 2</w:t>
      </w:r>
      <w:r w:rsidR="00CD784D" w:rsidRPr="0049558A">
        <w:rPr>
          <w:b/>
          <w:bCs/>
          <w:sz w:val="20"/>
          <w:szCs w:val="20"/>
        </w:rPr>
        <w:t>. Wiek ekonomiczny kobiet i mężczyzn w województwie pomorskim</w:t>
      </w:r>
    </w:p>
    <w:p w:rsidR="00895E25" w:rsidRDefault="00030EB4" w:rsidP="001A609C">
      <w:pPr>
        <w:ind w:left="-284"/>
        <w:jc w:val="both"/>
        <w:rPr>
          <w:rFonts w:cstheme="minorHAnsi"/>
          <w:color w:val="C49A00" w:themeColor="accent1" w:themeShade="BF"/>
        </w:rPr>
      </w:pPr>
      <w:r>
        <w:rPr>
          <w:noProof/>
          <w:lang w:eastAsia="pl-PL"/>
        </w:rPr>
        <w:drawing>
          <wp:inline distT="0" distB="0" distL="0" distR="0" wp14:anchorId="23445CF5" wp14:editId="22CAEBCB">
            <wp:extent cx="2971800" cy="218122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750E77">
        <w:rPr>
          <w:b/>
          <w:noProof/>
          <w:lang w:eastAsia="pl-PL"/>
        </w:rPr>
        <w:drawing>
          <wp:inline distT="0" distB="0" distL="0" distR="0" wp14:anchorId="41E8D76E" wp14:editId="5E14649E">
            <wp:extent cx="2876550" cy="211455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3D21" w:rsidRDefault="001E446B" w:rsidP="00DE77E3">
      <w:pPr>
        <w:jc w:val="both"/>
        <w:rPr>
          <w:rFonts w:cstheme="minorHAnsi"/>
          <w:sz w:val="16"/>
          <w:szCs w:val="16"/>
        </w:rPr>
      </w:pPr>
      <w:r w:rsidRPr="005B2BE4">
        <w:rPr>
          <w:rFonts w:cstheme="minorHAnsi"/>
          <w:sz w:val="16"/>
          <w:szCs w:val="16"/>
        </w:rPr>
        <w:t>Źródło: Bank Danych Lokalnych, GUS.</w:t>
      </w:r>
    </w:p>
    <w:p w:rsidR="00FF3B58" w:rsidRDefault="00FF3B58" w:rsidP="00DE77E3">
      <w:pPr>
        <w:jc w:val="both"/>
        <w:rPr>
          <w:rFonts w:cstheme="minorHAnsi"/>
          <w:sz w:val="16"/>
          <w:szCs w:val="16"/>
        </w:rPr>
      </w:pPr>
    </w:p>
    <w:p w:rsidR="005462F8" w:rsidRPr="00D252BF" w:rsidRDefault="005462F8" w:rsidP="00D252BF">
      <w:pPr>
        <w:shd w:val="clear" w:color="auto" w:fill="BDD6EE"/>
        <w:spacing w:after="120" w:line="288" w:lineRule="auto"/>
        <w:jc w:val="both"/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</w:pPr>
      <w:r w:rsidRPr="00D252BF"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  <w:t>Kobiety na rynku pracy</w:t>
      </w:r>
    </w:p>
    <w:p w:rsidR="00D252BF" w:rsidRDefault="00D252BF" w:rsidP="00D252BF">
      <w:pPr>
        <w:spacing w:after="120" w:line="288" w:lineRule="auto"/>
        <w:jc w:val="both"/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</w:pPr>
    </w:p>
    <w:p w:rsidR="00A714B7" w:rsidRPr="00D252BF" w:rsidRDefault="00F34E52" w:rsidP="00D252BF">
      <w:pPr>
        <w:spacing w:after="120" w:line="288" w:lineRule="auto"/>
        <w:jc w:val="both"/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</w:pPr>
      <w:r w:rsidRPr="00D252BF"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  <w:t>Wykształcenie</w:t>
      </w:r>
    </w:p>
    <w:p w:rsidR="00A714B7" w:rsidRDefault="00A714B7" w:rsidP="00F34E52">
      <w:pPr>
        <w:pStyle w:val="Akapitzlist"/>
        <w:tabs>
          <w:tab w:val="left" w:pos="426"/>
        </w:tabs>
        <w:spacing w:after="60"/>
        <w:ind w:left="0"/>
        <w:jc w:val="both"/>
      </w:pPr>
      <w:r w:rsidRPr="00A714B7">
        <w:t xml:space="preserve">W województwie pomorskim </w:t>
      </w:r>
      <w:r>
        <w:t xml:space="preserve">kobiety są lepiej wykształcone niż mężczyźni. Na 100 kobiet 62 mają wykształcenie średnie i </w:t>
      </w:r>
      <w:r w:rsidR="00762436">
        <w:t>powyżej (mężczyzn 53). Jednakże przewaga kobiet w porównaniu do mężczyzn jest także widoczna w grupie najsłabiej wyedukowanej, tzn. z wykształceniem gimn</w:t>
      </w:r>
      <w:r w:rsidR="009934C5">
        <w:t>azjalnym, podstawowym i poniżej – blisko 20% kobiet do 15,7% mężczyzn.</w:t>
      </w:r>
    </w:p>
    <w:p w:rsidR="004715F3" w:rsidRDefault="004715F3" w:rsidP="00A714B7">
      <w:pPr>
        <w:pStyle w:val="Akapitzlist"/>
        <w:tabs>
          <w:tab w:val="left" w:pos="426"/>
        </w:tabs>
        <w:ind w:left="0"/>
        <w:jc w:val="both"/>
      </w:pPr>
    </w:p>
    <w:p w:rsidR="00516B32" w:rsidRPr="0049558A" w:rsidRDefault="004715F3" w:rsidP="00516B32">
      <w:pPr>
        <w:spacing w:after="0"/>
        <w:jc w:val="both"/>
        <w:rPr>
          <w:b/>
          <w:bCs/>
          <w:sz w:val="20"/>
          <w:szCs w:val="20"/>
        </w:rPr>
      </w:pPr>
      <w:r w:rsidRPr="0049558A">
        <w:rPr>
          <w:b/>
          <w:bCs/>
          <w:sz w:val="20"/>
          <w:szCs w:val="20"/>
        </w:rPr>
        <w:t xml:space="preserve">Wykres 3. Ludność w wieku 15 lat i więcej według poziomu wykształcenia </w:t>
      </w:r>
    </w:p>
    <w:p w:rsidR="00762436" w:rsidRPr="0049558A" w:rsidRDefault="004715F3" w:rsidP="00516B32">
      <w:pPr>
        <w:spacing w:after="0"/>
        <w:jc w:val="both"/>
        <w:rPr>
          <w:b/>
          <w:bCs/>
          <w:sz w:val="20"/>
          <w:szCs w:val="20"/>
        </w:rPr>
      </w:pPr>
      <w:r w:rsidRPr="0049558A">
        <w:rPr>
          <w:b/>
          <w:bCs/>
          <w:sz w:val="20"/>
          <w:szCs w:val="20"/>
        </w:rPr>
        <w:t>w województwie pomorskim w 2016 r.</w:t>
      </w:r>
    </w:p>
    <w:p w:rsidR="00762436" w:rsidRDefault="004715F3" w:rsidP="00A714B7">
      <w:pPr>
        <w:pStyle w:val="Akapitzlist"/>
        <w:tabs>
          <w:tab w:val="left" w:pos="426"/>
        </w:tabs>
        <w:ind w:left="0"/>
        <w:jc w:val="both"/>
      </w:pPr>
      <w:r w:rsidRPr="00940D5C">
        <w:rPr>
          <w:noProof/>
          <w:lang w:eastAsia="pl-PL"/>
        </w:rPr>
        <w:drawing>
          <wp:inline distT="0" distB="0" distL="0" distR="0" wp14:anchorId="3E9C0158" wp14:editId="29C80127">
            <wp:extent cx="5600700" cy="182880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2436" w:rsidRPr="005B2BE4" w:rsidRDefault="004715F3" w:rsidP="00F34E52">
      <w:pPr>
        <w:jc w:val="both"/>
        <w:rPr>
          <w:rFonts w:cstheme="minorHAnsi"/>
          <w:sz w:val="16"/>
          <w:szCs w:val="16"/>
        </w:rPr>
      </w:pPr>
      <w:r w:rsidRPr="005B2BE4">
        <w:rPr>
          <w:rFonts w:cstheme="minorHAnsi"/>
          <w:sz w:val="16"/>
          <w:szCs w:val="16"/>
        </w:rPr>
        <w:t xml:space="preserve">Źródło: Na podstawie </w:t>
      </w:r>
      <w:r w:rsidR="00D57AFB" w:rsidRPr="005B2BE4">
        <w:rPr>
          <w:rFonts w:cstheme="minorHAnsi"/>
          <w:sz w:val="16"/>
          <w:szCs w:val="16"/>
        </w:rPr>
        <w:t>BAEL (infografika US w Gdańsku)</w:t>
      </w:r>
      <w:r w:rsidR="005B2BE4">
        <w:rPr>
          <w:rFonts w:cstheme="minorHAnsi"/>
          <w:sz w:val="16"/>
          <w:szCs w:val="16"/>
        </w:rPr>
        <w:t>.</w:t>
      </w:r>
    </w:p>
    <w:p w:rsidR="00D252BF" w:rsidRDefault="00D252BF" w:rsidP="00D252BF">
      <w:pPr>
        <w:spacing w:after="120" w:line="288" w:lineRule="auto"/>
        <w:jc w:val="both"/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</w:pPr>
    </w:p>
    <w:p w:rsidR="0049558A" w:rsidRDefault="0049558A" w:rsidP="00D252BF">
      <w:pPr>
        <w:spacing w:after="120" w:line="288" w:lineRule="auto"/>
        <w:jc w:val="both"/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</w:pPr>
    </w:p>
    <w:p w:rsidR="000D5A7E" w:rsidRPr="00D252BF" w:rsidRDefault="000D5A7E" w:rsidP="00D252BF">
      <w:pPr>
        <w:spacing w:after="120" w:line="288" w:lineRule="auto"/>
        <w:jc w:val="both"/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</w:pPr>
      <w:r w:rsidRPr="00D252BF"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  <w:t>Kształcenie ustawiczne</w:t>
      </w:r>
    </w:p>
    <w:p w:rsidR="000D5A7E" w:rsidRPr="00830DA5" w:rsidRDefault="000D5A7E" w:rsidP="00D252BF">
      <w:pPr>
        <w:jc w:val="both"/>
        <w:rPr>
          <w:rFonts w:cstheme="minorHAnsi"/>
        </w:rPr>
      </w:pPr>
      <w:r>
        <w:t>Pomorskie kobiety w wieku 25-64 lata chętniej dokształcają się niż mężczyźni w regionie oraz niż ich odpowiedniczki w innych województwach w kraju.</w:t>
      </w:r>
      <w:r w:rsidRPr="003D6BCF">
        <w:t xml:space="preserve"> </w:t>
      </w:r>
      <w:r>
        <w:t>W</w:t>
      </w:r>
      <w:r w:rsidRPr="003D6BCF">
        <w:t xml:space="preserve">skaźnik uczestnictwa w kształceniu ustawicznym </w:t>
      </w:r>
      <w:r>
        <w:t xml:space="preserve">kobiet w województwie pomorskim </w:t>
      </w:r>
      <w:r w:rsidRPr="003D6BCF">
        <w:t>wyniósł</w:t>
      </w:r>
      <w:r>
        <w:t xml:space="preserve"> 6</w:t>
      </w:r>
      <w:r w:rsidRPr="003D6BCF">
        <w:t>,</w:t>
      </w:r>
      <w:r>
        <w:t>3</w:t>
      </w:r>
      <w:r w:rsidRPr="003D6BCF">
        <w:t>%</w:t>
      </w:r>
      <w:r>
        <w:rPr>
          <w:rStyle w:val="Odwoanieprzypisudolnego"/>
          <w:rFonts w:eastAsia="Calibri"/>
          <w:color w:val="000000"/>
        </w:rPr>
        <w:footnoteReference w:id="3"/>
      </w:r>
      <w:r>
        <w:t xml:space="preserve"> i był najwyższy w kraju (na równi z województwem mazowieckim). Wskaźnik dla kobiet od trzech lat ma tendencje rosnącą i znacznie wyprzedza udział mężczyzn w dokształcaniu się – wskaźnik dla mężczyzn wynosił 4,3%. </w:t>
      </w:r>
    </w:p>
    <w:p w:rsidR="00F34E52" w:rsidRPr="00D252BF" w:rsidRDefault="00F34E52" w:rsidP="00D252BF">
      <w:pPr>
        <w:spacing w:after="120" w:line="288" w:lineRule="auto"/>
        <w:jc w:val="both"/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</w:pPr>
      <w:r w:rsidRPr="00D252BF"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  <w:t>Wynagrodzenia</w:t>
      </w:r>
    </w:p>
    <w:p w:rsidR="00F34E52" w:rsidRDefault="00F34E52" w:rsidP="00D252BF">
      <w:pPr>
        <w:jc w:val="both"/>
      </w:pPr>
      <w:r w:rsidRPr="00EE16F7">
        <w:t>W województwie pomorskim w 2016 r. przeciętne wynagrodzenie brutto kobiet było niższe niż przeciętne wynagrodzenie mężczyzn we wszystkich wielkich grupach zawodów, za wyjątkiem rolników, ogrodników, leśników i rybaków.</w:t>
      </w:r>
      <w:r w:rsidR="00D252BF">
        <w:t xml:space="preserve"> </w:t>
      </w:r>
      <w:r w:rsidR="009D1964">
        <w:t xml:space="preserve">Kobiety </w:t>
      </w:r>
      <w:r w:rsidRPr="00EE16F7">
        <w:t>zarabiają średnio o ok. 15%  mniej niż mężczyźni. Przeciętne miesięczne wynagrodzenie brutto</w:t>
      </w:r>
      <w:r w:rsidRPr="00EE16F7">
        <w:rPr>
          <w:rStyle w:val="Odwoanieprzypisudolnego"/>
          <w:rFonts w:cstheme="minorHAnsi"/>
        </w:rPr>
        <w:footnoteReference w:id="4"/>
      </w:r>
      <w:r w:rsidRPr="00EE16F7">
        <w:t xml:space="preserve"> kobiet to 4 060,06 zł, a mężczyzn 4 769,49 zł. </w:t>
      </w:r>
    </w:p>
    <w:p w:rsidR="00F34E52" w:rsidRPr="00EE16F7" w:rsidRDefault="00F34E52" w:rsidP="004D0D0A">
      <w:pPr>
        <w:jc w:val="both"/>
      </w:pPr>
      <w:r>
        <w:t>Najwięcej zarabiają kobiety (mężczyźni również)</w:t>
      </w:r>
      <w:r w:rsidRPr="00EE16F7">
        <w:t xml:space="preserve"> z wykształceniem wyższym ze stopniem n</w:t>
      </w:r>
      <w:r>
        <w:t xml:space="preserve">aukowym co najmniej doktora, </w:t>
      </w:r>
      <w:r w:rsidRPr="00EE16F7">
        <w:t>tytułem magistra, lekarza lub równorzędnym</w:t>
      </w:r>
      <w:r>
        <w:t>. N</w:t>
      </w:r>
      <w:r w:rsidRPr="00EE16F7">
        <w:t>ajniższe przeciętne wynagrodzeni</w:t>
      </w:r>
      <w:r>
        <w:t>a</w:t>
      </w:r>
      <w:r w:rsidRPr="00EE16F7">
        <w:t xml:space="preserve"> </w:t>
      </w:r>
      <w:r>
        <w:t>dotyczą</w:t>
      </w:r>
      <w:r w:rsidRPr="00EE16F7">
        <w:t xml:space="preserve"> </w:t>
      </w:r>
      <w:r>
        <w:t>kobiet</w:t>
      </w:r>
      <w:r w:rsidRPr="00EE16F7">
        <w:t xml:space="preserve"> z wykształceniem zasadniczym zawodowym</w:t>
      </w:r>
      <w:r>
        <w:t xml:space="preserve"> (</w:t>
      </w:r>
      <w:r w:rsidRPr="00EE16F7">
        <w:t xml:space="preserve">mężczyzn </w:t>
      </w:r>
      <w:r w:rsidR="00D252BF">
        <w:t>z </w:t>
      </w:r>
      <w:r w:rsidRPr="00EE16F7">
        <w:t>wykształceniem gimnazjalnym</w:t>
      </w:r>
      <w:r>
        <w:t>).</w:t>
      </w:r>
    </w:p>
    <w:p w:rsidR="00F34E52" w:rsidRDefault="00F34E52" w:rsidP="00F34E52">
      <w:pPr>
        <w:tabs>
          <w:tab w:val="left" w:pos="426"/>
        </w:tabs>
        <w:spacing w:after="60"/>
        <w:jc w:val="both"/>
        <w:rPr>
          <w:i/>
        </w:rPr>
      </w:pPr>
    </w:p>
    <w:p w:rsidR="00F34E52" w:rsidRDefault="00F34E52" w:rsidP="00D252BF">
      <w:pPr>
        <w:spacing w:after="120" w:line="288" w:lineRule="auto"/>
        <w:jc w:val="both"/>
        <w:rPr>
          <w:i/>
        </w:rPr>
      </w:pPr>
      <w:r w:rsidRPr="00D252BF"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  <w:t>Aktywność zawodowa</w:t>
      </w:r>
    </w:p>
    <w:p w:rsidR="00194AFD" w:rsidRPr="00F34E52" w:rsidRDefault="00FD6248" w:rsidP="00F34E52">
      <w:pPr>
        <w:tabs>
          <w:tab w:val="left" w:pos="426"/>
        </w:tabs>
        <w:spacing w:after="60"/>
        <w:jc w:val="both"/>
        <w:rPr>
          <w:i/>
        </w:rPr>
      </w:pPr>
      <w:bookmarkStart w:id="0" w:name="_Hlk516039635"/>
      <w:r w:rsidRPr="00FD6248">
        <w:t xml:space="preserve">W </w:t>
      </w:r>
      <w:r w:rsidR="00757248">
        <w:t>Pomorskiem</w:t>
      </w:r>
      <w:r>
        <w:t xml:space="preserve"> </w:t>
      </w:r>
      <w:r w:rsidR="00E966D7">
        <w:t>aktywnych zawodo</w:t>
      </w:r>
      <w:r w:rsidR="003805EC">
        <w:t xml:space="preserve">wo kobiet jest ok. pół miliona, z czego 446 tys. </w:t>
      </w:r>
      <w:r>
        <w:t>pracuje</w:t>
      </w:r>
      <w:r w:rsidR="003805EC">
        <w:t>, a 21 tys. jest gotowa do podjęcia zatrudnienia (zarejestrowani w urzędzie pracy jako bezrobotni).</w:t>
      </w:r>
    </w:p>
    <w:p w:rsidR="0019574F" w:rsidRDefault="003E6166" w:rsidP="00F34E52">
      <w:pPr>
        <w:spacing w:after="60"/>
        <w:jc w:val="both"/>
      </w:pPr>
      <w:r w:rsidRPr="00CD784D">
        <w:t>Kobiety są mniej aktywne zawodowo niż mężczyźni. Współczynnik aktywności zawodowej</w:t>
      </w:r>
      <w:r w:rsidR="00E00310">
        <w:rPr>
          <w:rStyle w:val="Odwoanieprzypisudolnego"/>
        </w:rPr>
        <w:footnoteReference w:id="5"/>
      </w:r>
      <w:r w:rsidRPr="00CD784D">
        <w:t xml:space="preserve"> kobiet, </w:t>
      </w:r>
      <w:r w:rsidRPr="00CD784D">
        <w:br/>
        <w:t xml:space="preserve">w </w:t>
      </w:r>
      <w:r>
        <w:t>2017 r.</w:t>
      </w:r>
      <w:r w:rsidRPr="00CD784D">
        <w:t xml:space="preserve"> był niższy o blisko 20 punktów procentowych w porównaniu do mężczyzn. </w:t>
      </w:r>
    </w:p>
    <w:p w:rsidR="009D416A" w:rsidRDefault="009D416A" w:rsidP="00F34E52">
      <w:pPr>
        <w:spacing w:after="60"/>
        <w:jc w:val="both"/>
        <w:rPr>
          <w:noProof/>
        </w:rPr>
      </w:pPr>
      <w:r>
        <w:rPr>
          <w:noProof/>
        </w:rPr>
        <w:t xml:space="preserve">Różnice między płciami są szczególnie duże w </w:t>
      </w:r>
      <w:r w:rsidR="00756104">
        <w:rPr>
          <w:noProof/>
        </w:rPr>
        <w:t>przedziałach wiekowych</w:t>
      </w:r>
      <w:r>
        <w:rPr>
          <w:noProof/>
        </w:rPr>
        <w:t xml:space="preserve"> </w:t>
      </w:r>
      <w:r w:rsidR="00F406EA">
        <w:rPr>
          <w:noProof/>
        </w:rPr>
        <w:t>do 35 roku życia</w:t>
      </w:r>
      <w:r w:rsidR="00756104">
        <w:rPr>
          <w:noProof/>
        </w:rPr>
        <w:t xml:space="preserve">, </w:t>
      </w:r>
      <w:r>
        <w:rPr>
          <w:noProof/>
        </w:rPr>
        <w:t>a więc w</w:t>
      </w:r>
      <w:r w:rsidR="00F406EA">
        <w:rPr>
          <w:noProof/>
        </w:rPr>
        <w:t> </w:t>
      </w:r>
      <w:r w:rsidR="00756104">
        <w:rPr>
          <w:noProof/>
        </w:rPr>
        <w:t xml:space="preserve">momencie, kiedy pod opieką w rodzinie pozostają małe dzieci oraz po 50 roku życia, czyli w </w:t>
      </w:r>
      <w:r>
        <w:rPr>
          <w:noProof/>
        </w:rPr>
        <w:t>wieku, gdy zaczynają się pojawiać</w:t>
      </w:r>
      <w:r w:rsidR="00756104">
        <w:rPr>
          <w:noProof/>
        </w:rPr>
        <w:t xml:space="preserve"> w </w:t>
      </w:r>
      <w:r w:rsidR="00721575">
        <w:rPr>
          <w:noProof/>
        </w:rPr>
        <w:t>rodzinie wnuki, częściowo ta róż</w:t>
      </w:r>
      <w:r w:rsidR="00756104">
        <w:rPr>
          <w:noProof/>
        </w:rPr>
        <w:t>nica wynika także z niższego, w przypadku kobiet wieku emerytalnego.</w:t>
      </w:r>
    </w:p>
    <w:bookmarkEnd w:id="0"/>
    <w:p w:rsidR="009D416A" w:rsidRDefault="009D416A" w:rsidP="00F34E52">
      <w:pPr>
        <w:spacing w:after="60"/>
        <w:jc w:val="both"/>
        <w:rPr>
          <w:noProof/>
        </w:rPr>
      </w:pPr>
    </w:p>
    <w:p w:rsidR="003E6166" w:rsidRPr="0049558A" w:rsidRDefault="003E6166" w:rsidP="003E6166">
      <w:pPr>
        <w:jc w:val="both"/>
        <w:rPr>
          <w:sz w:val="20"/>
          <w:szCs w:val="20"/>
        </w:rPr>
      </w:pPr>
      <w:r w:rsidRPr="0049558A">
        <w:rPr>
          <w:b/>
          <w:sz w:val="20"/>
          <w:szCs w:val="20"/>
        </w:rPr>
        <w:t xml:space="preserve">Wykres </w:t>
      </w:r>
      <w:r w:rsidR="00D57AFB" w:rsidRPr="0049558A">
        <w:rPr>
          <w:b/>
          <w:sz w:val="20"/>
          <w:szCs w:val="20"/>
        </w:rPr>
        <w:t>4</w:t>
      </w:r>
      <w:r w:rsidRPr="0049558A">
        <w:rPr>
          <w:b/>
          <w:sz w:val="20"/>
          <w:szCs w:val="20"/>
        </w:rPr>
        <w:t xml:space="preserve">. Współczynnik aktywności zawodowej wg płci w województwie pomorskim </w:t>
      </w:r>
      <w:r w:rsidR="008C5B8F" w:rsidRPr="0049558A">
        <w:rPr>
          <w:b/>
          <w:sz w:val="20"/>
          <w:szCs w:val="20"/>
        </w:rPr>
        <w:t>(w wieku 15 lat i więcej)</w:t>
      </w:r>
    </w:p>
    <w:p w:rsidR="00ED38A7" w:rsidRDefault="00713608" w:rsidP="00D43B10">
      <w:pPr>
        <w:tabs>
          <w:tab w:val="left" w:pos="426"/>
        </w:tabs>
        <w:jc w:val="both"/>
      </w:pPr>
      <w:r w:rsidRPr="002C0C1B">
        <w:rPr>
          <w:noProof/>
          <w:sz w:val="20"/>
          <w:szCs w:val="20"/>
          <w:lang w:eastAsia="pl-PL"/>
        </w:rPr>
        <w:drawing>
          <wp:inline distT="0" distB="0" distL="0" distR="0" wp14:anchorId="78F9CCA3" wp14:editId="47F30E05">
            <wp:extent cx="5362575" cy="1714500"/>
            <wp:effectExtent l="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66BA" w:rsidRDefault="00DA4DB8" w:rsidP="00DA4DB8">
      <w:pPr>
        <w:jc w:val="both"/>
        <w:rPr>
          <w:rFonts w:cstheme="minorHAnsi"/>
          <w:sz w:val="16"/>
          <w:szCs w:val="16"/>
        </w:rPr>
      </w:pPr>
      <w:r w:rsidRPr="00DA4DB8">
        <w:rPr>
          <w:rFonts w:cstheme="minorHAnsi"/>
          <w:sz w:val="16"/>
          <w:szCs w:val="16"/>
        </w:rPr>
        <w:t>Źródło: EUROSTAT</w:t>
      </w:r>
      <w:r>
        <w:rPr>
          <w:rFonts w:cstheme="minorHAnsi"/>
          <w:sz w:val="16"/>
          <w:szCs w:val="16"/>
        </w:rPr>
        <w:t>.</w:t>
      </w:r>
    </w:p>
    <w:p w:rsidR="0043559A" w:rsidRPr="0049558A" w:rsidRDefault="00CD784D" w:rsidP="00270C35">
      <w:pPr>
        <w:rPr>
          <w:rFonts w:cstheme="minorHAnsi"/>
          <w:sz w:val="20"/>
          <w:szCs w:val="20"/>
        </w:rPr>
      </w:pPr>
      <w:r w:rsidRPr="0049558A">
        <w:rPr>
          <w:rFonts w:cstheme="minorHAnsi"/>
          <w:b/>
          <w:sz w:val="20"/>
          <w:szCs w:val="20"/>
        </w:rPr>
        <w:t xml:space="preserve">Wykres </w:t>
      </w:r>
      <w:r w:rsidR="00D57AFB" w:rsidRPr="0049558A">
        <w:rPr>
          <w:rFonts w:cstheme="minorHAnsi"/>
          <w:b/>
          <w:sz w:val="20"/>
          <w:szCs w:val="20"/>
        </w:rPr>
        <w:t>5.</w:t>
      </w:r>
      <w:r w:rsidRPr="0049558A">
        <w:rPr>
          <w:rFonts w:cstheme="minorHAnsi"/>
          <w:b/>
          <w:sz w:val="20"/>
          <w:szCs w:val="20"/>
        </w:rPr>
        <w:t xml:space="preserve"> </w:t>
      </w:r>
      <w:r w:rsidR="005B0F6F" w:rsidRPr="0049558A">
        <w:rPr>
          <w:rFonts w:cstheme="minorHAnsi"/>
          <w:b/>
          <w:sz w:val="20"/>
          <w:szCs w:val="20"/>
        </w:rPr>
        <w:t>Współczynnik a</w:t>
      </w:r>
      <w:r w:rsidRPr="0049558A">
        <w:rPr>
          <w:rFonts w:cstheme="minorHAnsi"/>
          <w:b/>
          <w:sz w:val="20"/>
          <w:szCs w:val="20"/>
        </w:rPr>
        <w:t>ktywnoś</w:t>
      </w:r>
      <w:r w:rsidR="005B0F6F" w:rsidRPr="0049558A">
        <w:rPr>
          <w:rFonts w:cstheme="minorHAnsi"/>
          <w:b/>
          <w:sz w:val="20"/>
          <w:szCs w:val="20"/>
        </w:rPr>
        <w:t>ci</w:t>
      </w:r>
      <w:r w:rsidR="002C0C1B" w:rsidRPr="0049558A">
        <w:rPr>
          <w:rFonts w:cstheme="minorHAnsi"/>
          <w:b/>
          <w:sz w:val="20"/>
          <w:szCs w:val="20"/>
        </w:rPr>
        <w:t xml:space="preserve"> zawodowej</w:t>
      </w:r>
      <w:r w:rsidRPr="0049558A">
        <w:rPr>
          <w:rFonts w:cstheme="minorHAnsi"/>
          <w:b/>
          <w:sz w:val="20"/>
          <w:szCs w:val="20"/>
        </w:rPr>
        <w:t xml:space="preserve"> wg w</w:t>
      </w:r>
      <w:r w:rsidR="00165093" w:rsidRPr="0049558A">
        <w:rPr>
          <w:rFonts w:cstheme="minorHAnsi"/>
          <w:b/>
          <w:sz w:val="20"/>
          <w:szCs w:val="20"/>
        </w:rPr>
        <w:t>ieku</w:t>
      </w:r>
      <w:r w:rsidR="00E8009A" w:rsidRPr="0049558A">
        <w:rPr>
          <w:rFonts w:cstheme="minorHAnsi"/>
          <w:b/>
          <w:sz w:val="20"/>
          <w:szCs w:val="20"/>
        </w:rPr>
        <w:t xml:space="preserve"> i płci</w:t>
      </w:r>
      <w:r w:rsidR="00165093" w:rsidRPr="0049558A">
        <w:rPr>
          <w:rFonts w:cstheme="minorHAnsi"/>
          <w:b/>
          <w:sz w:val="20"/>
          <w:szCs w:val="20"/>
        </w:rPr>
        <w:t xml:space="preserve"> w woj</w:t>
      </w:r>
      <w:r w:rsidR="00BD1C3E" w:rsidRPr="0049558A">
        <w:rPr>
          <w:rFonts w:cstheme="minorHAnsi"/>
          <w:b/>
          <w:sz w:val="20"/>
          <w:szCs w:val="20"/>
        </w:rPr>
        <w:t>ewództwie pomorskim</w:t>
      </w:r>
      <w:r w:rsidR="00BD1C3E" w:rsidRPr="0049558A">
        <w:rPr>
          <w:rFonts w:cstheme="minorHAnsi"/>
          <w:sz w:val="20"/>
          <w:szCs w:val="20"/>
        </w:rPr>
        <w:t xml:space="preserve"> </w:t>
      </w:r>
    </w:p>
    <w:p w:rsidR="0048135A" w:rsidRDefault="00E8009A" w:rsidP="005966BA">
      <w:pPr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696B8410" wp14:editId="38468438">
            <wp:extent cx="5419725" cy="1724025"/>
            <wp:effectExtent l="0" t="0" r="9525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64F1" w:rsidRPr="00DA4DB8" w:rsidRDefault="00AA64F1" w:rsidP="00AA64F1">
      <w:pPr>
        <w:jc w:val="both"/>
        <w:rPr>
          <w:rFonts w:cstheme="minorHAnsi"/>
          <w:sz w:val="16"/>
          <w:szCs w:val="16"/>
        </w:rPr>
      </w:pPr>
      <w:r w:rsidRPr="00DA4DB8">
        <w:rPr>
          <w:rFonts w:cstheme="minorHAnsi"/>
          <w:sz w:val="16"/>
          <w:szCs w:val="16"/>
        </w:rPr>
        <w:t>Źródło: EUROSTAT</w:t>
      </w:r>
      <w:r w:rsidR="00DA4DB8">
        <w:rPr>
          <w:rFonts w:cstheme="minorHAnsi"/>
          <w:sz w:val="16"/>
          <w:szCs w:val="16"/>
        </w:rPr>
        <w:t>.</w:t>
      </w:r>
    </w:p>
    <w:p w:rsidR="005462F8" w:rsidRPr="00A00211" w:rsidRDefault="00F36518" w:rsidP="00DE77E3">
      <w:pPr>
        <w:jc w:val="both"/>
        <w:rPr>
          <w:rFonts w:cstheme="minorHAnsi"/>
        </w:rPr>
      </w:pPr>
      <w:bookmarkStart w:id="1" w:name="_Hlk516039658"/>
      <w:r>
        <w:rPr>
          <w:rFonts w:cstheme="minorHAnsi"/>
        </w:rPr>
        <w:t xml:space="preserve">Liczba pracujących kobiet jest o ok. </w:t>
      </w:r>
      <w:r w:rsidR="005B2BE4">
        <w:rPr>
          <w:rFonts w:cstheme="minorHAnsi"/>
        </w:rPr>
        <w:t>20% mniejsza niż mężczyzn</w:t>
      </w:r>
      <w:r>
        <w:rPr>
          <w:rFonts w:cstheme="minorHAnsi"/>
        </w:rPr>
        <w:t>, jednakże dynamika wzrostu jest porównywalna</w:t>
      </w:r>
      <w:r w:rsidR="005B2BE4">
        <w:rPr>
          <w:rFonts w:cstheme="minorHAnsi"/>
        </w:rPr>
        <w:t xml:space="preserve"> dla obu płci</w:t>
      </w:r>
      <w:r>
        <w:rPr>
          <w:rFonts w:cstheme="minorHAnsi"/>
        </w:rPr>
        <w:t xml:space="preserve">. W </w:t>
      </w:r>
      <w:r w:rsidR="00911D15">
        <w:rPr>
          <w:rFonts w:cstheme="minorHAnsi"/>
        </w:rPr>
        <w:t xml:space="preserve">roku </w:t>
      </w:r>
      <w:r>
        <w:rPr>
          <w:rFonts w:cstheme="minorHAnsi"/>
        </w:rPr>
        <w:t>2017 pracujących przybyło zarówno wśród kobiet jak i</w:t>
      </w:r>
      <w:r w:rsidR="00D252BF">
        <w:rPr>
          <w:rFonts w:cstheme="minorHAnsi"/>
        </w:rPr>
        <w:t> </w:t>
      </w:r>
      <w:r>
        <w:rPr>
          <w:rFonts w:cstheme="minorHAnsi"/>
        </w:rPr>
        <w:t>mężczyzn o ok. 13%</w:t>
      </w:r>
      <w:r w:rsidR="00911D15">
        <w:rPr>
          <w:rFonts w:cstheme="minorHAnsi"/>
        </w:rPr>
        <w:t xml:space="preserve"> (w stosunku do roku 2013)</w:t>
      </w:r>
      <w:r>
        <w:rPr>
          <w:rFonts w:cstheme="minorHAnsi"/>
        </w:rPr>
        <w:t>.</w:t>
      </w:r>
    </w:p>
    <w:bookmarkEnd w:id="1"/>
    <w:p w:rsidR="00270C35" w:rsidRPr="0049558A" w:rsidRDefault="00F36518" w:rsidP="00DE77E3">
      <w:pPr>
        <w:jc w:val="both"/>
        <w:rPr>
          <w:rFonts w:cstheme="minorHAnsi"/>
          <w:sz w:val="20"/>
          <w:szCs w:val="20"/>
        </w:rPr>
      </w:pPr>
      <w:r w:rsidRPr="0049558A">
        <w:rPr>
          <w:rFonts w:cstheme="minorHAnsi"/>
          <w:b/>
          <w:sz w:val="20"/>
          <w:szCs w:val="20"/>
        </w:rPr>
        <w:t xml:space="preserve">Wykres 6. </w:t>
      </w:r>
      <w:r w:rsidR="002C0C1B" w:rsidRPr="0049558A">
        <w:rPr>
          <w:rFonts w:cstheme="minorHAnsi"/>
          <w:b/>
          <w:sz w:val="20"/>
          <w:szCs w:val="20"/>
        </w:rPr>
        <w:t>Pracujący wg</w:t>
      </w:r>
      <w:r w:rsidRPr="0049558A">
        <w:rPr>
          <w:rFonts w:cstheme="minorHAnsi"/>
          <w:b/>
          <w:sz w:val="20"/>
          <w:szCs w:val="20"/>
        </w:rPr>
        <w:t xml:space="preserve"> płci w województwie pomorskim</w:t>
      </w:r>
    </w:p>
    <w:p w:rsidR="00D43B10" w:rsidRDefault="00D43B10" w:rsidP="00DE77E3">
      <w:pPr>
        <w:jc w:val="both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2DEB31AB" wp14:editId="68FEB654">
            <wp:extent cx="4943475" cy="2200275"/>
            <wp:effectExtent l="0" t="0" r="9525" b="952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A4DB8" w:rsidRPr="00EA5E6F" w:rsidRDefault="00DA4DB8" w:rsidP="00DE77E3">
      <w:pPr>
        <w:jc w:val="both"/>
        <w:rPr>
          <w:rFonts w:cstheme="minorHAnsi"/>
          <w:sz w:val="16"/>
          <w:szCs w:val="16"/>
        </w:rPr>
      </w:pPr>
      <w:r w:rsidRPr="00EA5E6F">
        <w:rPr>
          <w:rFonts w:cstheme="minorHAnsi"/>
          <w:sz w:val="16"/>
          <w:szCs w:val="16"/>
        </w:rPr>
        <w:t xml:space="preserve">Źródło: </w:t>
      </w:r>
      <w:r w:rsidR="00651832" w:rsidRPr="00EA5E6F">
        <w:rPr>
          <w:rFonts w:cstheme="minorHAnsi"/>
          <w:sz w:val="16"/>
          <w:szCs w:val="16"/>
        </w:rPr>
        <w:t>Opracowanie własne na podstawie danych otrzymanych z US w Gdańsku</w:t>
      </w:r>
      <w:r w:rsidRPr="00EA5E6F">
        <w:rPr>
          <w:rFonts w:cstheme="minorHAnsi"/>
          <w:sz w:val="16"/>
          <w:szCs w:val="16"/>
        </w:rPr>
        <w:t>.</w:t>
      </w:r>
    </w:p>
    <w:p w:rsidR="00A27CE7" w:rsidRPr="00A27CE7" w:rsidRDefault="00A27CE7" w:rsidP="00A27CE7">
      <w:pPr>
        <w:spacing w:after="0"/>
        <w:jc w:val="both"/>
        <w:rPr>
          <w:rFonts w:cstheme="minorHAnsi"/>
          <w:color w:val="FF0000"/>
          <w:sz w:val="16"/>
          <w:szCs w:val="16"/>
        </w:rPr>
      </w:pPr>
    </w:p>
    <w:p w:rsidR="00D43B10" w:rsidRPr="004D0D0A" w:rsidRDefault="005B2BE4" w:rsidP="004D0D0A">
      <w:pPr>
        <w:spacing w:after="120" w:line="288" w:lineRule="auto"/>
        <w:jc w:val="both"/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</w:pPr>
      <w:r w:rsidRPr="004D0D0A">
        <w:rPr>
          <w:rFonts w:ascii="Calibri" w:eastAsia="Times New Roman" w:hAnsi="Calibri" w:cs="Calibri"/>
          <w:b/>
          <w:i/>
          <w:color w:val="2F5496"/>
          <w:sz w:val="28"/>
          <w:szCs w:val="28"/>
          <w:lang w:eastAsia="pl-PL"/>
        </w:rPr>
        <w:t>Bezrobocie rejestrowane</w:t>
      </w:r>
    </w:p>
    <w:p w:rsidR="00996E81" w:rsidRDefault="00320049" w:rsidP="00677FDA">
      <w:pPr>
        <w:spacing w:after="60"/>
        <w:jc w:val="both"/>
        <w:rPr>
          <w:rFonts w:cstheme="minorHAnsi"/>
        </w:rPr>
      </w:pPr>
      <w:r>
        <w:rPr>
          <w:rFonts w:cstheme="minorHAnsi"/>
        </w:rPr>
        <w:t>Kobiet, które rejestrują się w pomorskich urzędach pracy jako bezrobotne jest ok.</w:t>
      </w:r>
      <w:r w:rsidR="00EA5E6F">
        <w:rPr>
          <w:rFonts w:cstheme="minorHAnsi"/>
        </w:rPr>
        <w:t xml:space="preserve"> </w:t>
      </w:r>
      <w:r>
        <w:rPr>
          <w:rFonts w:cstheme="minorHAnsi"/>
        </w:rPr>
        <w:t xml:space="preserve">30 tys. (o ok. 40% więcej niż mężczyzn). </w:t>
      </w:r>
      <w:r w:rsidR="00AE2486">
        <w:rPr>
          <w:rFonts w:cstheme="minorHAnsi"/>
        </w:rPr>
        <w:t>Ich liczba z roku na rok maleje, ale dynamika spadku jest niższa niż u mężczyzn. W związku z tym w ogólnej liczbie bezrobotnych udział kobiet rośnie, a mężczyzn maleje.</w:t>
      </w:r>
    </w:p>
    <w:p w:rsidR="00996E81" w:rsidRDefault="003532B1" w:rsidP="00677FDA">
      <w:pPr>
        <w:spacing w:after="60"/>
        <w:jc w:val="both"/>
        <w:rPr>
          <w:rFonts w:cstheme="minorHAnsi"/>
        </w:rPr>
      </w:pPr>
      <w:r>
        <w:rPr>
          <w:rFonts w:cstheme="minorHAnsi"/>
        </w:rPr>
        <w:t>W końcu 2013 r. kobiety stanowiły 54,9% ogólnej liczby bezrobotnych (mężczyźni – 45,1%), a</w:t>
      </w:r>
      <w:r w:rsidR="00D252BF">
        <w:rPr>
          <w:rFonts w:cstheme="minorHAnsi"/>
        </w:rPr>
        <w:t> </w:t>
      </w:r>
      <w:r>
        <w:rPr>
          <w:rFonts w:cstheme="minorHAnsi"/>
        </w:rPr>
        <w:t>w</w:t>
      </w:r>
      <w:r w:rsidR="00D252BF">
        <w:rPr>
          <w:rFonts w:cstheme="minorHAnsi"/>
        </w:rPr>
        <w:t> </w:t>
      </w:r>
      <w:r>
        <w:rPr>
          <w:rFonts w:cstheme="minorHAnsi"/>
        </w:rPr>
        <w:t>kwietniu 2018 r. ich udział wzrósł do 61,5% (mężczyzn spadł do 38,5%).</w:t>
      </w:r>
    </w:p>
    <w:p w:rsidR="00677FDA" w:rsidRDefault="00677FDA" w:rsidP="00677FDA">
      <w:pPr>
        <w:spacing w:after="60"/>
        <w:jc w:val="both"/>
        <w:rPr>
          <w:rFonts w:cstheme="minorHAnsi"/>
        </w:rPr>
      </w:pPr>
    </w:p>
    <w:p w:rsidR="00F406EA" w:rsidRDefault="00F406EA" w:rsidP="00677FDA">
      <w:pPr>
        <w:spacing w:after="60"/>
        <w:jc w:val="both"/>
        <w:rPr>
          <w:rFonts w:cstheme="minorHAnsi"/>
        </w:rPr>
      </w:pPr>
    </w:p>
    <w:p w:rsidR="00F406EA" w:rsidRDefault="00F406EA" w:rsidP="00677FDA">
      <w:pPr>
        <w:spacing w:after="60"/>
        <w:jc w:val="both"/>
        <w:rPr>
          <w:rFonts w:cstheme="minorHAnsi"/>
        </w:rPr>
      </w:pPr>
    </w:p>
    <w:p w:rsidR="00F406EA" w:rsidRDefault="00F406EA" w:rsidP="00677FDA">
      <w:pPr>
        <w:spacing w:after="60"/>
        <w:jc w:val="both"/>
        <w:rPr>
          <w:rFonts w:cstheme="minorHAnsi"/>
        </w:rPr>
      </w:pPr>
    </w:p>
    <w:p w:rsidR="0049558A" w:rsidRDefault="0049558A" w:rsidP="00677FDA">
      <w:pPr>
        <w:spacing w:after="60"/>
        <w:jc w:val="both"/>
        <w:rPr>
          <w:rFonts w:cstheme="minorHAnsi"/>
        </w:rPr>
      </w:pPr>
    </w:p>
    <w:p w:rsidR="00F406EA" w:rsidRDefault="00F406EA" w:rsidP="00677FDA">
      <w:pPr>
        <w:spacing w:after="60"/>
        <w:jc w:val="both"/>
        <w:rPr>
          <w:rFonts w:cstheme="minorHAnsi"/>
        </w:rPr>
      </w:pPr>
    </w:p>
    <w:p w:rsidR="00F406EA" w:rsidRDefault="00F406EA" w:rsidP="00677FDA">
      <w:pPr>
        <w:spacing w:after="60"/>
        <w:jc w:val="both"/>
        <w:rPr>
          <w:rFonts w:cstheme="minorHAnsi"/>
        </w:rPr>
      </w:pPr>
    </w:p>
    <w:p w:rsidR="00A27CE7" w:rsidRPr="0049558A" w:rsidRDefault="00677FDA" w:rsidP="007C5BA6">
      <w:pPr>
        <w:spacing w:after="0"/>
        <w:jc w:val="both"/>
        <w:rPr>
          <w:rFonts w:cstheme="minorHAnsi"/>
          <w:b/>
          <w:sz w:val="20"/>
          <w:szCs w:val="20"/>
        </w:rPr>
      </w:pPr>
      <w:r w:rsidRPr="0049558A">
        <w:rPr>
          <w:rFonts w:cstheme="minorHAnsi"/>
          <w:b/>
          <w:sz w:val="20"/>
          <w:szCs w:val="20"/>
        </w:rPr>
        <w:t xml:space="preserve">Wykres 7. </w:t>
      </w:r>
      <w:r w:rsidR="00A27CE7" w:rsidRPr="0049558A">
        <w:rPr>
          <w:rFonts w:cstheme="minorHAnsi"/>
          <w:b/>
          <w:sz w:val="20"/>
          <w:szCs w:val="20"/>
        </w:rPr>
        <w:t>Liczba bezrobotnych zarejestrowanych w powiatowych urzędach pracy województwa pomorskiego</w:t>
      </w:r>
      <w:r w:rsidR="000F768B" w:rsidRPr="0049558A">
        <w:rPr>
          <w:rFonts w:cstheme="minorHAnsi"/>
          <w:b/>
          <w:sz w:val="20"/>
          <w:szCs w:val="20"/>
        </w:rPr>
        <w:t xml:space="preserve"> w podziale na płeć</w:t>
      </w:r>
    </w:p>
    <w:p w:rsidR="00A27CE7" w:rsidRDefault="00A27CE7" w:rsidP="00A27CE7">
      <w:pPr>
        <w:spacing w:after="60"/>
        <w:jc w:val="both"/>
        <w:rPr>
          <w:rFonts w:cstheme="minorHAnsi"/>
        </w:rPr>
      </w:pPr>
    </w:p>
    <w:p w:rsidR="00996E81" w:rsidRDefault="00E64423" w:rsidP="00DE77E3">
      <w:pPr>
        <w:jc w:val="both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30B182AE" wp14:editId="04A5FBD0">
            <wp:extent cx="4943475" cy="2295525"/>
            <wp:effectExtent l="0" t="0" r="9525" b="952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96E81" w:rsidRPr="00677FDA" w:rsidRDefault="00677FDA" w:rsidP="00DE77E3">
      <w:pPr>
        <w:jc w:val="both"/>
        <w:rPr>
          <w:rFonts w:cstheme="minorHAnsi"/>
          <w:sz w:val="16"/>
          <w:szCs w:val="16"/>
        </w:rPr>
      </w:pPr>
      <w:r w:rsidRPr="00677FDA">
        <w:rPr>
          <w:rFonts w:cstheme="minorHAnsi"/>
          <w:sz w:val="16"/>
          <w:szCs w:val="16"/>
        </w:rPr>
        <w:t>Źródło: Sprawozdanie o rynku pracy MRPiPS-01.</w:t>
      </w:r>
    </w:p>
    <w:p w:rsidR="00A27CE7" w:rsidRDefault="005449FC" w:rsidP="00DE77E3">
      <w:pPr>
        <w:jc w:val="both"/>
        <w:rPr>
          <w:rFonts w:cstheme="minorHAnsi"/>
        </w:rPr>
      </w:pPr>
      <w:r>
        <w:rPr>
          <w:rFonts w:cstheme="minorHAnsi"/>
        </w:rPr>
        <w:t>J</w:t>
      </w:r>
      <w:r w:rsidR="00320049">
        <w:rPr>
          <w:rFonts w:cstheme="minorHAnsi"/>
        </w:rPr>
        <w:t xml:space="preserve">edna trzecia </w:t>
      </w:r>
      <w:r w:rsidR="000C3360">
        <w:rPr>
          <w:rFonts w:cstheme="minorHAnsi"/>
        </w:rPr>
        <w:t xml:space="preserve">kobiet w bezrobociu </w:t>
      </w:r>
      <w:r w:rsidR="00320049">
        <w:rPr>
          <w:rFonts w:cstheme="minorHAnsi"/>
        </w:rPr>
        <w:t xml:space="preserve">to </w:t>
      </w:r>
      <w:r w:rsidR="000C3360">
        <w:rPr>
          <w:rFonts w:cstheme="minorHAnsi"/>
        </w:rPr>
        <w:t>osoby</w:t>
      </w:r>
      <w:r w:rsidR="00320049">
        <w:rPr>
          <w:rFonts w:cstheme="minorHAnsi"/>
        </w:rPr>
        <w:t xml:space="preserve"> młode </w:t>
      </w:r>
      <w:r>
        <w:rPr>
          <w:rFonts w:cstheme="minorHAnsi"/>
        </w:rPr>
        <w:t>do 30 roku życia, blisko jedna czwarta posiada jedynie wykształcenie gimnazjalne i poniżej</w:t>
      </w:r>
      <w:r w:rsidR="00B95F68">
        <w:rPr>
          <w:rFonts w:cstheme="minorHAnsi"/>
        </w:rPr>
        <w:t xml:space="preserve">, </w:t>
      </w:r>
      <w:r w:rsidR="00A67A56">
        <w:rPr>
          <w:rFonts w:cstheme="minorHAnsi"/>
        </w:rPr>
        <w:t>prawie</w:t>
      </w:r>
      <w:r w:rsidR="00B95F68">
        <w:rPr>
          <w:rFonts w:cstheme="minorHAnsi"/>
        </w:rPr>
        <w:t xml:space="preserve"> połowa pozostaje w długotrwałym bezrobociu.</w:t>
      </w:r>
    </w:p>
    <w:p w:rsidR="000C3360" w:rsidRDefault="000C3360" w:rsidP="00DE77E3">
      <w:pPr>
        <w:jc w:val="both"/>
        <w:rPr>
          <w:rFonts w:cstheme="minorHAnsi"/>
        </w:rPr>
      </w:pPr>
      <w:r>
        <w:rPr>
          <w:rFonts w:cstheme="minorHAnsi"/>
        </w:rPr>
        <w:t xml:space="preserve">Od kilku lat obserwuje się </w:t>
      </w:r>
      <w:r w:rsidR="009977BB">
        <w:rPr>
          <w:rFonts w:cstheme="minorHAnsi"/>
        </w:rPr>
        <w:t xml:space="preserve">wśród bezrobotnych </w:t>
      </w:r>
      <w:r>
        <w:rPr>
          <w:rFonts w:cstheme="minorHAnsi"/>
        </w:rPr>
        <w:t xml:space="preserve">rosnący udział </w:t>
      </w:r>
      <w:r w:rsidR="009977BB">
        <w:rPr>
          <w:rFonts w:cstheme="minorHAnsi"/>
        </w:rPr>
        <w:t>kobiet, które nie powróciły na rynek pracy po urodzeniu dziecka.</w:t>
      </w:r>
    </w:p>
    <w:p w:rsidR="0049558A" w:rsidRDefault="0049558A" w:rsidP="00DE77E3">
      <w:pPr>
        <w:jc w:val="both"/>
        <w:rPr>
          <w:rFonts w:cstheme="minorHAnsi"/>
        </w:rPr>
      </w:pPr>
    </w:p>
    <w:p w:rsidR="00516B32" w:rsidRDefault="00516B32" w:rsidP="00516B32">
      <w:pPr>
        <w:jc w:val="both"/>
        <w:rPr>
          <w:rFonts w:cstheme="minorHAnsi"/>
          <w:b/>
          <w:sz w:val="20"/>
          <w:szCs w:val="20"/>
        </w:rPr>
      </w:pPr>
      <w:r w:rsidRPr="0049558A">
        <w:rPr>
          <w:rFonts w:cstheme="minorHAnsi"/>
          <w:b/>
          <w:sz w:val="20"/>
          <w:szCs w:val="20"/>
        </w:rPr>
        <w:t>Wykres 8. Udział kobiet, które nie podjęły zatrudnienia po urodzeniu dziecka w województwie pomorskim w</w:t>
      </w:r>
      <w:r w:rsidR="007C5BA6">
        <w:rPr>
          <w:rFonts w:cstheme="minorHAnsi"/>
          <w:b/>
          <w:sz w:val="20"/>
          <w:szCs w:val="20"/>
        </w:rPr>
        <w:t> </w:t>
      </w:r>
      <w:r w:rsidRPr="0049558A">
        <w:rPr>
          <w:rFonts w:cstheme="minorHAnsi"/>
          <w:b/>
          <w:sz w:val="20"/>
          <w:szCs w:val="20"/>
        </w:rPr>
        <w:t>ogólnej liczbie bezrobotnych kobiet</w:t>
      </w:r>
    </w:p>
    <w:p w:rsidR="00826A5A" w:rsidRPr="0049558A" w:rsidRDefault="00826A5A" w:rsidP="00516B32">
      <w:pPr>
        <w:jc w:val="both"/>
        <w:rPr>
          <w:rFonts w:cstheme="minorHAnsi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CA74384" wp14:editId="77D5E1B6">
            <wp:extent cx="4991100" cy="2743200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F0CF7F3-3C83-4D0D-9693-0EE380E9B4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D6E4A" w:rsidRDefault="00677FDA" w:rsidP="00DE77E3">
      <w:pPr>
        <w:jc w:val="both"/>
        <w:rPr>
          <w:rFonts w:cstheme="minorHAnsi"/>
          <w:sz w:val="16"/>
          <w:szCs w:val="16"/>
        </w:rPr>
      </w:pPr>
      <w:r w:rsidRPr="00677FDA">
        <w:rPr>
          <w:rFonts w:cstheme="minorHAnsi"/>
          <w:sz w:val="16"/>
          <w:szCs w:val="16"/>
        </w:rPr>
        <w:t>Źródło: Sprawozdanie o rynku pracy MRPiPS-01.</w:t>
      </w:r>
    </w:p>
    <w:p w:rsidR="009977BB" w:rsidRDefault="009977BB" w:rsidP="00DE77E3">
      <w:pPr>
        <w:jc w:val="both"/>
        <w:rPr>
          <w:rFonts w:cstheme="minorHAnsi"/>
          <w:sz w:val="16"/>
          <w:szCs w:val="16"/>
        </w:rPr>
      </w:pPr>
    </w:p>
    <w:p w:rsidR="005D0D03" w:rsidRPr="009977BB" w:rsidRDefault="005D0D03" w:rsidP="00DE77E3">
      <w:pPr>
        <w:jc w:val="both"/>
        <w:rPr>
          <w:rFonts w:cstheme="minorHAnsi"/>
          <w:sz w:val="16"/>
          <w:szCs w:val="16"/>
        </w:rPr>
      </w:pPr>
    </w:p>
    <w:p w:rsidR="00830DA5" w:rsidRDefault="00830DA5" w:rsidP="00DE77E3">
      <w:pPr>
        <w:jc w:val="both"/>
        <w:rPr>
          <w:rFonts w:cstheme="minorHAnsi"/>
          <w:i/>
        </w:rPr>
      </w:pPr>
    </w:p>
    <w:p w:rsidR="00895E25" w:rsidRPr="00D252BF" w:rsidRDefault="00895E25" w:rsidP="00D252BF">
      <w:pPr>
        <w:shd w:val="clear" w:color="auto" w:fill="BDD6EE"/>
        <w:spacing w:after="120" w:line="288" w:lineRule="auto"/>
        <w:jc w:val="both"/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</w:pPr>
      <w:r w:rsidRPr="00D252BF">
        <w:rPr>
          <w:rFonts w:ascii="Calibri" w:eastAsia="Times New Roman" w:hAnsi="Calibri" w:cs="Calibri"/>
          <w:b/>
          <w:i/>
          <w:color w:val="2F5496"/>
          <w:sz w:val="44"/>
          <w:szCs w:val="44"/>
          <w:lang w:eastAsia="pl-PL"/>
        </w:rPr>
        <w:t>Kobiety poza rynkiem pracy</w:t>
      </w:r>
    </w:p>
    <w:p w:rsidR="005462F8" w:rsidRPr="00CD784D" w:rsidRDefault="005462F8" w:rsidP="005462F8">
      <w:pPr>
        <w:pStyle w:val="Akapitzlist"/>
        <w:tabs>
          <w:tab w:val="left" w:pos="426"/>
        </w:tabs>
        <w:spacing w:after="0"/>
        <w:ind w:left="0"/>
        <w:jc w:val="both"/>
        <w:rPr>
          <w:rFonts w:cstheme="minorHAnsi"/>
          <w:b/>
        </w:rPr>
      </w:pPr>
    </w:p>
    <w:p w:rsidR="00911D15" w:rsidRDefault="00FC43C9" w:rsidP="000F0DB6">
      <w:pPr>
        <w:spacing w:after="60"/>
        <w:jc w:val="both"/>
        <w:rPr>
          <w:rFonts w:cstheme="minorHAnsi"/>
        </w:rPr>
      </w:pPr>
      <w:bookmarkStart w:id="2" w:name="_Hlk516037741"/>
      <w:r w:rsidRPr="00FC43C9">
        <w:rPr>
          <w:rFonts w:cstheme="minorHAnsi"/>
        </w:rPr>
        <w:t xml:space="preserve">Zarówno w Polsce, jak i w samym </w:t>
      </w:r>
      <w:r w:rsidR="00911D15" w:rsidRPr="00FC43C9">
        <w:rPr>
          <w:rFonts w:cstheme="minorHAnsi"/>
        </w:rPr>
        <w:t xml:space="preserve">województwie pomorskim </w:t>
      </w:r>
      <w:r w:rsidR="00D03F34" w:rsidRPr="00FC43C9">
        <w:rPr>
          <w:rFonts w:cstheme="minorHAnsi"/>
        </w:rPr>
        <w:t xml:space="preserve">poza rynkiem pracy </w:t>
      </w:r>
      <w:r w:rsidRPr="00FC43C9">
        <w:rPr>
          <w:rFonts w:cstheme="minorHAnsi"/>
        </w:rPr>
        <w:t>pozostaje</w:t>
      </w:r>
      <w:r w:rsidR="00D03F34" w:rsidRPr="00FC43C9">
        <w:rPr>
          <w:rFonts w:cstheme="minorHAnsi"/>
        </w:rPr>
        <w:t xml:space="preserve"> 3</w:t>
      </w:r>
      <w:r w:rsidR="00911D15" w:rsidRPr="00FC43C9">
        <w:rPr>
          <w:rFonts w:cstheme="minorHAnsi"/>
        </w:rPr>
        <w:t>3</w:t>
      </w:r>
      <w:r w:rsidR="00D03F34" w:rsidRPr="00FC43C9">
        <w:rPr>
          <w:rFonts w:cstheme="minorHAnsi"/>
        </w:rPr>
        <w:t>% kobiet w wieku 20-64 lat</w:t>
      </w:r>
      <w:r w:rsidR="00CF42A7" w:rsidRPr="00FC43C9">
        <w:rPr>
          <w:rFonts w:cstheme="minorHAnsi"/>
        </w:rPr>
        <w:t>a</w:t>
      </w:r>
      <w:r w:rsidRPr="00FC43C9">
        <w:rPr>
          <w:rFonts w:cstheme="minorHAnsi"/>
        </w:rPr>
        <w:t>; dla porównania średnia unijna wynosi</w:t>
      </w:r>
      <w:r w:rsidR="00D03F34" w:rsidRPr="00FC43C9">
        <w:rPr>
          <w:rFonts w:cstheme="minorHAnsi"/>
        </w:rPr>
        <w:t xml:space="preserve"> 29%</w:t>
      </w:r>
      <w:r w:rsidR="00887C0C" w:rsidRPr="00FC43C9">
        <w:rPr>
          <w:rStyle w:val="Odwoanieprzypisudolnego"/>
          <w:rFonts w:cstheme="minorHAnsi"/>
        </w:rPr>
        <w:footnoteReference w:id="6"/>
      </w:r>
      <w:r w:rsidR="00D03F34" w:rsidRPr="00FC43C9">
        <w:rPr>
          <w:rFonts w:cstheme="minorHAnsi"/>
        </w:rPr>
        <w:t>.</w:t>
      </w:r>
      <w:r w:rsidR="00D03F34" w:rsidRPr="00CD784D">
        <w:rPr>
          <w:rFonts w:cstheme="minorHAnsi"/>
        </w:rPr>
        <w:t xml:space="preserve"> </w:t>
      </w:r>
      <w:bookmarkStart w:id="3" w:name="_GoBack"/>
      <w:bookmarkEnd w:id="3"/>
    </w:p>
    <w:p w:rsidR="0075281B" w:rsidRDefault="00D708F8" w:rsidP="000F0DB6">
      <w:pPr>
        <w:spacing w:after="60"/>
        <w:jc w:val="both"/>
      </w:pPr>
      <w:r w:rsidRPr="00CD784D">
        <w:rPr>
          <w:rStyle w:val="Uwydatnienie"/>
          <w:i w:val="0"/>
        </w:rPr>
        <w:t xml:space="preserve">W liczbach bezwzględnych </w:t>
      </w:r>
      <w:r w:rsidRPr="00CD784D">
        <w:t>ponad 470 tys. kobiet w</w:t>
      </w:r>
      <w:r w:rsidR="00A77B5E" w:rsidRPr="00CD784D">
        <w:t xml:space="preserve"> wieku 15 lat i więcej w </w:t>
      </w:r>
      <w:r w:rsidRPr="00CD784D">
        <w:t xml:space="preserve"> regionie to kobiety bierne zawodowo</w:t>
      </w:r>
      <w:r w:rsidR="00251A78">
        <w:t xml:space="preserve"> (mężczyzn – 28</w:t>
      </w:r>
      <w:r w:rsidR="00991E6C">
        <w:t>2</w:t>
      </w:r>
      <w:r w:rsidR="00251A78">
        <w:t xml:space="preserve"> tys.)</w:t>
      </w:r>
      <w:r w:rsidR="00B80D4C" w:rsidRPr="00CD784D">
        <w:t>.</w:t>
      </w:r>
      <w:r w:rsidR="000B686F" w:rsidRPr="00CD784D">
        <w:t xml:space="preserve"> </w:t>
      </w:r>
      <w:r w:rsidR="00B80D4C" w:rsidRPr="00CD784D">
        <w:t>O</w:t>
      </w:r>
      <w:r w:rsidR="000B686F" w:rsidRPr="00CD784D">
        <w:t xml:space="preserve"> 27 tys.</w:t>
      </w:r>
      <w:r w:rsidR="0075281B" w:rsidRPr="00CD784D">
        <w:t xml:space="preserve"> więcej kobiet pozostaje w bierności zawodowej niż pracuje, co przekłada się na obciążenie pracujących tymi, którzy nie</w:t>
      </w:r>
      <w:r w:rsidR="003871B7" w:rsidRPr="00CD784D">
        <w:t xml:space="preserve"> prac</w:t>
      </w:r>
      <w:r w:rsidR="005B554E">
        <w:t>ują</w:t>
      </w:r>
      <w:r w:rsidR="003871B7" w:rsidRPr="00CD784D">
        <w:t xml:space="preserve"> </w:t>
      </w:r>
      <w:r w:rsidR="003871B7" w:rsidRPr="000F0DB6">
        <w:t xml:space="preserve">(w dużej części </w:t>
      </w:r>
      <w:r w:rsidR="005B554E" w:rsidRPr="000F0DB6">
        <w:t>uczą</w:t>
      </w:r>
      <w:r w:rsidR="001A3E22" w:rsidRPr="000F0DB6">
        <w:t xml:space="preserve"> się lub </w:t>
      </w:r>
      <w:r w:rsidR="00D5683E" w:rsidRPr="000F0DB6">
        <w:t>przebywa</w:t>
      </w:r>
      <w:r w:rsidR="005B554E" w:rsidRPr="000F0DB6">
        <w:t>ją</w:t>
      </w:r>
      <w:r w:rsidR="00D5683E" w:rsidRPr="000F0DB6">
        <w:t xml:space="preserve"> na emeryturze)</w:t>
      </w:r>
      <w:r w:rsidR="00B80D4C" w:rsidRPr="00CD784D">
        <w:t xml:space="preserve"> </w:t>
      </w:r>
      <w:r w:rsidR="007374CA">
        <w:t xml:space="preserve">- </w:t>
      </w:r>
      <w:r w:rsidR="001A3E22">
        <w:t xml:space="preserve"> </w:t>
      </w:r>
      <w:r w:rsidR="0075281B" w:rsidRPr="00CD784D">
        <w:t>na 1</w:t>
      </w:r>
      <w:r w:rsidR="00B54095" w:rsidRPr="00CD784D">
        <w:t xml:space="preserve"> </w:t>
      </w:r>
      <w:r w:rsidR="0075281B" w:rsidRPr="00CD784D">
        <w:t>000 pracujących kobiet 1</w:t>
      </w:r>
      <w:r w:rsidR="00B80D4C" w:rsidRPr="00CD784D">
        <w:t xml:space="preserve"> </w:t>
      </w:r>
      <w:r w:rsidR="0075281B" w:rsidRPr="00CD784D">
        <w:t>06</w:t>
      </w:r>
      <w:r w:rsidR="00991E6C">
        <w:t>1</w:t>
      </w:r>
      <w:r w:rsidR="0075281B" w:rsidRPr="00CD784D">
        <w:t xml:space="preserve"> nie prac</w:t>
      </w:r>
      <w:r w:rsidR="006A5D03" w:rsidRPr="00CD784D">
        <w:t>uje i nie szuka</w:t>
      </w:r>
      <w:r w:rsidR="0075281B" w:rsidRPr="00CD784D">
        <w:t xml:space="preserve"> pracy.</w:t>
      </w:r>
    </w:p>
    <w:p w:rsidR="0019574F" w:rsidRDefault="0019574F" w:rsidP="000F0DB6">
      <w:pPr>
        <w:spacing w:after="60"/>
        <w:jc w:val="both"/>
      </w:pPr>
      <w:r>
        <w:t>Największy odsetek kobiet</w:t>
      </w:r>
      <w:r w:rsidR="00176C39">
        <w:t xml:space="preserve"> i mężczyzn</w:t>
      </w:r>
      <w:r>
        <w:t xml:space="preserve"> biernych zawodowo</w:t>
      </w:r>
      <w:r w:rsidR="00176C39">
        <w:t xml:space="preserve"> –</w:t>
      </w:r>
      <w:r w:rsidR="00D94E3C">
        <w:t xml:space="preserve"> </w:t>
      </w:r>
      <w:r w:rsidR="00176C39">
        <w:t>powyżej 60%</w:t>
      </w:r>
      <w:r>
        <w:t xml:space="preserve">, to </w:t>
      </w:r>
      <w:r w:rsidR="00176C39">
        <w:t>osoby</w:t>
      </w:r>
      <w:r>
        <w:t xml:space="preserve"> zbliżające się do wieku emerytalnego</w:t>
      </w:r>
      <w:r w:rsidR="00176C39">
        <w:t xml:space="preserve"> i w wieku emerytalnym (5</w:t>
      </w:r>
      <w:r w:rsidR="00991E6C">
        <w:t>5</w:t>
      </w:r>
      <w:r w:rsidR="00176C39">
        <w:t xml:space="preserve"> lat i więcej), </w:t>
      </w:r>
      <w:r>
        <w:t xml:space="preserve"> na drugim miejscu </w:t>
      </w:r>
      <w:r w:rsidR="00176C39">
        <w:t>osoby</w:t>
      </w:r>
      <w:r>
        <w:t xml:space="preserve"> młode w </w:t>
      </w:r>
      <w:r w:rsidR="00176C39">
        <w:t>wieku 15-24 lata, z których duża</w:t>
      </w:r>
      <w:r>
        <w:t xml:space="preserve"> część kontynuuje naukę w szkołach średnich, policealnych lub wyższych.</w:t>
      </w:r>
    </w:p>
    <w:bookmarkEnd w:id="2"/>
    <w:p w:rsidR="001A3E22" w:rsidRDefault="001A3E22" w:rsidP="00B70766">
      <w:pPr>
        <w:spacing w:after="0"/>
        <w:jc w:val="both"/>
        <w:rPr>
          <w:rStyle w:val="Uwydatnienie"/>
          <w:i w:val="0"/>
        </w:rPr>
      </w:pPr>
    </w:p>
    <w:p w:rsidR="00895E25" w:rsidRPr="0049558A" w:rsidRDefault="00B70766" w:rsidP="00DE77E3">
      <w:pPr>
        <w:jc w:val="both"/>
        <w:rPr>
          <w:rFonts w:cstheme="minorHAnsi"/>
          <w:sz w:val="20"/>
          <w:szCs w:val="20"/>
        </w:rPr>
      </w:pPr>
      <w:r w:rsidRPr="0049558A">
        <w:rPr>
          <w:rFonts w:cstheme="minorHAnsi"/>
          <w:b/>
          <w:sz w:val="20"/>
          <w:szCs w:val="20"/>
        </w:rPr>
        <w:t xml:space="preserve">Wykres </w:t>
      </w:r>
      <w:r w:rsidR="00516B32" w:rsidRPr="0049558A">
        <w:rPr>
          <w:rFonts w:cstheme="minorHAnsi"/>
          <w:b/>
          <w:sz w:val="20"/>
          <w:szCs w:val="20"/>
        </w:rPr>
        <w:t>9</w:t>
      </w:r>
      <w:r w:rsidRPr="0049558A">
        <w:rPr>
          <w:rFonts w:cstheme="minorHAnsi"/>
          <w:b/>
          <w:sz w:val="20"/>
          <w:szCs w:val="20"/>
        </w:rPr>
        <w:t>.</w:t>
      </w:r>
      <w:r w:rsidR="00381A15" w:rsidRPr="0049558A">
        <w:rPr>
          <w:rFonts w:cstheme="minorHAnsi"/>
          <w:b/>
          <w:sz w:val="20"/>
          <w:szCs w:val="20"/>
        </w:rPr>
        <w:t xml:space="preserve"> </w:t>
      </w:r>
      <w:r w:rsidR="000D0160" w:rsidRPr="0049558A">
        <w:rPr>
          <w:rFonts w:cstheme="minorHAnsi"/>
          <w:b/>
          <w:sz w:val="20"/>
          <w:szCs w:val="20"/>
        </w:rPr>
        <w:t>Struktura wiekowa kobiet</w:t>
      </w:r>
      <w:r w:rsidR="002917D7" w:rsidRPr="0049558A">
        <w:rPr>
          <w:rFonts w:cstheme="minorHAnsi"/>
          <w:b/>
          <w:sz w:val="20"/>
          <w:szCs w:val="20"/>
        </w:rPr>
        <w:t xml:space="preserve"> i mężczyzn</w:t>
      </w:r>
      <w:r w:rsidRPr="0049558A">
        <w:rPr>
          <w:rFonts w:cstheme="minorHAnsi"/>
          <w:b/>
          <w:sz w:val="20"/>
          <w:szCs w:val="20"/>
        </w:rPr>
        <w:t xml:space="preserve"> </w:t>
      </w:r>
      <w:r w:rsidR="000D0160" w:rsidRPr="0049558A">
        <w:rPr>
          <w:rFonts w:cstheme="minorHAnsi"/>
          <w:b/>
          <w:sz w:val="20"/>
          <w:szCs w:val="20"/>
        </w:rPr>
        <w:t>biernych</w:t>
      </w:r>
      <w:r w:rsidRPr="0049558A">
        <w:rPr>
          <w:rFonts w:cstheme="minorHAnsi"/>
          <w:b/>
          <w:sz w:val="20"/>
          <w:szCs w:val="20"/>
        </w:rPr>
        <w:t xml:space="preserve"> zawodow</w:t>
      </w:r>
      <w:r w:rsidR="000D0160" w:rsidRPr="0049558A">
        <w:rPr>
          <w:rFonts w:cstheme="minorHAnsi"/>
          <w:b/>
          <w:sz w:val="20"/>
          <w:szCs w:val="20"/>
        </w:rPr>
        <w:t>o</w:t>
      </w:r>
      <w:r w:rsidRPr="0049558A">
        <w:rPr>
          <w:rFonts w:cstheme="minorHAnsi"/>
          <w:b/>
          <w:sz w:val="20"/>
          <w:szCs w:val="20"/>
        </w:rPr>
        <w:t xml:space="preserve"> w województwie pomorskim</w:t>
      </w:r>
    </w:p>
    <w:p w:rsidR="005462F8" w:rsidRPr="00A00211" w:rsidRDefault="00176C39" w:rsidP="00DE77E3">
      <w:pPr>
        <w:jc w:val="both"/>
      </w:pPr>
      <w:r>
        <w:rPr>
          <w:noProof/>
          <w:lang w:eastAsia="pl-PL"/>
        </w:rPr>
        <w:drawing>
          <wp:inline distT="0" distB="0" distL="0" distR="0" wp14:anchorId="0858DF64" wp14:editId="5829C7C6">
            <wp:extent cx="5248275" cy="2133600"/>
            <wp:effectExtent l="0" t="0" r="9525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F0440" w:rsidRDefault="00EF0440" w:rsidP="00EF0440">
      <w:pPr>
        <w:jc w:val="both"/>
        <w:rPr>
          <w:rFonts w:cstheme="minorHAnsi"/>
          <w:sz w:val="16"/>
          <w:szCs w:val="16"/>
        </w:rPr>
      </w:pPr>
      <w:r w:rsidRPr="00DA4DB8">
        <w:rPr>
          <w:rFonts w:cstheme="minorHAnsi"/>
          <w:sz w:val="16"/>
          <w:szCs w:val="16"/>
        </w:rPr>
        <w:t xml:space="preserve">Źródło: </w:t>
      </w:r>
      <w:r w:rsidR="00AC1019">
        <w:rPr>
          <w:rFonts w:cstheme="minorHAnsi"/>
          <w:sz w:val="16"/>
          <w:szCs w:val="16"/>
        </w:rPr>
        <w:t>Obliczenia własne na podstawie danych GUS.</w:t>
      </w:r>
    </w:p>
    <w:p w:rsidR="000F0DB6" w:rsidRDefault="000F0DB6" w:rsidP="000F0DB6">
      <w:pPr>
        <w:spacing w:before="240" w:after="60"/>
        <w:jc w:val="center"/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</w:pPr>
      <w:r w:rsidRPr="000F0DB6"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t xml:space="preserve">Kobiety nieaktywne zawodowo to ukryty potencjał naszego rynku pracy. Aby je zaktywizować zawodowo </w:t>
      </w:r>
      <w:r w:rsidR="00504E32"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t>kluczowe</w:t>
      </w:r>
      <w:r w:rsidRPr="000F0DB6"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t xml:space="preserve"> jest pozna</w:t>
      </w:r>
      <w:r w:rsidR="00504E32"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t>nie</w:t>
      </w:r>
      <w:r w:rsidRPr="000F0DB6"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t xml:space="preserve"> przyczyn braku aktywności zawodowej</w:t>
      </w:r>
      <w:r w:rsidR="00F77F6E"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t xml:space="preserve"> oraz </w:t>
      </w:r>
      <w:r w:rsidRPr="000F0DB6"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t>barier w podejmowaniu pracy, a także pozna</w:t>
      </w:r>
      <w:r w:rsidR="00B05B08"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t>nie</w:t>
      </w:r>
      <w:r w:rsidRPr="000F0DB6"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t xml:space="preserve"> ich oczekiwa</w:t>
      </w:r>
      <w:r w:rsidR="00B05B08"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t>ń</w:t>
      </w:r>
      <w:r w:rsidRPr="000F0DB6">
        <w:rPr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t xml:space="preserve"> wobec potencjalnego pracodawcy. Ważna jest też wiedza jak kobieta ocenia swoja rolę w życiu rodzinnym, społecznym czy zawodowym.</w:t>
      </w:r>
      <w:r w:rsidR="005D0D03">
        <w:rPr>
          <w:rStyle w:val="Odwoanieprzypisudolnego"/>
          <w:rFonts w:ascii="Calibri" w:eastAsia="Times New Roman" w:hAnsi="Calibri" w:cs="Calibri"/>
          <w:b/>
          <w:color w:val="2F5496"/>
          <w:sz w:val="24"/>
          <w:szCs w:val="24"/>
          <w:lang w:eastAsia="pl-PL"/>
        </w:rPr>
        <w:footnoteReference w:id="7"/>
      </w:r>
    </w:p>
    <w:p w:rsidR="00B05B08" w:rsidRDefault="00B05B08" w:rsidP="000F0DB6">
      <w:pPr>
        <w:jc w:val="both"/>
      </w:pPr>
    </w:p>
    <w:p w:rsidR="00756104" w:rsidRDefault="00756104" w:rsidP="000F0DB6">
      <w:pPr>
        <w:jc w:val="both"/>
      </w:pPr>
      <w:r>
        <w:t>Z przeprowadzonych przez WUP w Gdańsku badań</w:t>
      </w:r>
      <w:r>
        <w:rPr>
          <w:rStyle w:val="Odwoanieprzypisudolnego"/>
        </w:rPr>
        <w:footnoteReference w:id="8"/>
      </w:r>
      <w:r>
        <w:t xml:space="preserve"> wynika, że brak </w:t>
      </w:r>
      <w:r w:rsidRPr="00BE273B">
        <w:t>aktywności zawodowej kobiet w</w:t>
      </w:r>
      <w:r w:rsidR="00D252BF">
        <w:t> </w:t>
      </w:r>
      <w:r w:rsidRPr="00BE273B">
        <w:t>wieku produkcyjnym, niezależnie czy mobilnym czy też niemobilnym,</w:t>
      </w:r>
      <w:r>
        <w:t xml:space="preserve"> był spowodowany</w:t>
      </w:r>
      <w:r w:rsidRPr="00BE273B">
        <w:t xml:space="preserve"> </w:t>
      </w:r>
      <w:r>
        <w:t>pełnieniem</w:t>
      </w:r>
      <w:r w:rsidRPr="00BE273B">
        <w:t xml:space="preserve"> obowiązków rodzinnych.</w:t>
      </w:r>
      <w:r>
        <w:t xml:space="preserve"> </w:t>
      </w:r>
      <w:r w:rsidRPr="001507DB">
        <w:t>Najczęściej wskazywane przyczyny pozostawania osobą bezrobotną (przez 37%</w:t>
      </w:r>
      <w:r>
        <w:t xml:space="preserve"> - </w:t>
      </w:r>
      <w:r w:rsidRPr="001507DB">
        <w:t>41% osób) to: opieka nad dzieckiem, konieczność zajmowania się domem/sytuacja rodzinna, a</w:t>
      </w:r>
      <w:r w:rsidR="000F0DB6">
        <w:t> </w:t>
      </w:r>
      <w:r w:rsidRPr="001507DB">
        <w:t>więc te, które są związane z życiem osobistym i rodzinnym, a nie z</w:t>
      </w:r>
      <w:r w:rsidR="00D252BF">
        <w:t> </w:t>
      </w:r>
      <w:r w:rsidRPr="001507DB">
        <w:t>rynkiem pracy. Wskazanie na te przyczyny może być  koniecznością – brakiem innej możliwości zorganizowania życia rodzinnego lub wyborem – np. niską motywacją do pracy. Długoletnie zajmowanie się domem i rodziną skutkuje zbyt długą przerwą w pracy.  Osoby te stanowią potencjalną grupę przyszłych biernych zawodowo. Kobiety, jako bariery wskazywały głównie na opiekę nad członkiem rodziny/brak dyspozycyjności oraz brak doświadczenia i stażu pracy a także zbyt niskie wykształcenie, nieznajomość języków obcych, brak znajomości, brak kwalifikacji. Bariery te są możliwe do zlikwidowania bądź możliwe jest umniejszenie ich negatywnego oddziaływania</w:t>
      </w:r>
      <w:r>
        <w:t>.</w:t>
      </w:r>
    </w:p>
    <w:p w:rsidR="00383D08" w:rsidRDefault="00E6209D" w:rsidP="00D258B0">
      <w:pPr>
        <w:spacing w:after="60"/>
        <w:jc w:val="both"/>
        <w:rPr>
          <w:rFonts w:cstheme="minorHAnsi"/>
        </w:rPr>
      </w:pPr>
      <w:r w:rsidRPr="00CD784D">
        <w:rPr>
          <w:rFonts w:cstheme="minorHAnsi"/>
        </w:rPr>
        <w:t xml:space="preserve">Z badania </w:t>
      </w:r>
      <w:r w:rsidR="00EA5E6F">
        <w:rPr>
          <w:rFonts w:cstheme="minorHAnsi"/>
        </w:rPr>
        <w:t xml:space="preserve">Deloitte </w:t>
      </w:r>
      <w:r w:rsidRPr="00CD784D">
        <w:rPr>
          <w:rFonts w:cstheme="minorHAnsi"/>
        </w:rPr>
        <w:t>wynika</w:t>
      </w:r>
      <w:r w:rsidR="00BA3647" w:rsidRPr="00CD784D">
        <w:rPr>
          <w:rFonts w:cstheme="minorHAnsi"/>
        </w:rPr>
        <w:t>,</w:t>
      </w:r>
      <w:r w:rsidRPr="00CD784D">
        <w:rPr>
          <w:rFonts w:cstheme="minorHAnsi"/>
        </w:rPr>
        <w:t xml:space="preserve"> </w:t>
      </w:r>
      <w:r w:rsidR="002D1E65" w:rsidRPr="00CD784D">
        <w:rPr>
          <w:rFonts w:cstheme="minorHAnsi"/>
        </w:rPr>
        <w:t xml:space="preserve">że Pomorzanki lubią pracę w domu, ale nie odrzucają zawodowej roli kobiety. </w:t>
      </w:r>
      <w:r w:rsidR="00B4015A" w:rsidRPr="00CD784D">
        <w:rPr>
          <w:rFonts w:cstheme="minorHAnsi"/>
        </w:rPr>
        <w:t xml:space="preserve">Ponad 60% badanych kobiet w Pomorskiem (najwyższy odsetek w Polsce) potwierdzało, że prowadzenie domu może dać kobiecie tyle samo zadowolenia co praca zawodowa. </w:t>
      </w:r>
    </w:p>
    <w:p w:rsidR="00D258B0" w:rsidRPr="00CD784D" w:rsidRDefault="00B4015A" w:rsidP="00D258B0">
      <w:pPr>
        <w:spacing w:after="60"/>
        <w:jc w:val="both"/>
        <w:rPr>
          <w:rFonts w:cstheme="minorHAnsi"/>
        </w:rPr>
      </w:pPr>
      <w:r w:rsidRPr="00CD784D">
        <w:rPr>
          <w:rFonts w:cstheme="minorHAnsi"/>
        </w:rPr>
        <w:t xml:space="preserve">Z drugiej strony </w:t>
      </w:r>
      <w:r w:rsidR="00831F01" w:rsidRPr="00CD784D">
        <w:rPr>
          <w:rFonts w:cstheme="minorHAnsi"/>
        </w:rPr>
        <w:t>wię</w:t>
      </w:r>
      <w:r w:rsidR="00E6209D" w:rsidRPr="00CD784D">
        <w:rPr>
          <w:rFonts w:cstheme="minorHAnsi"/>
        </w:rPr>
        <w:t>kszość Pomorzanek uważa</w:t>
      </w:r>
      <w:r w:rsidRPr="00CD784D">
        <w:rPr>
          <w:rFonts w:cstheme="minorHAnsi"/>
        </w:rPr>
        <w:t>, że zarówno kobiety jak i mężczyźni powinni zarabiać na utrzymanie domu, kobiety powinny mieć możliwość realizować się zawodowo</w:t>
      </w:r>
      <w:r w:rsidR="00383D08">
        <w:rPr>
          <w:rFonts w:cstheme="minorHAnsi"/>
        </w:rPr>
        <w:t>,</w:t>
      </w:r>
      <w:r w:rsidRPr="00CD784D">
        <w:rPr>
          <w:rFonts w:cstheme="minorHAnsi"/>
        </w:rPr>
        <w:t xml:space="preserve"> oraz że kobiety pracując zawodowo dają pozytywny przykład swoim dzieciom.</w:t>
      </w:r>
      <w:r w:rsidR="00E6209D" w:rsidRPr="00CD784D">
        <w:rPr>
          <w:rFonts w:cstheme="minorHAnsi"/>
        </w:rPr>
        <w:t xml:space="preserve"> </w:t>
      </w:r>
    </w:p>
    <w:p w:rsidR="0037678B" w:rsidRPr="00CD784D" w:rsidRDefault="0037678B" w:rsidP="0037678B">
      <w:pPr>
        <w:spacing w:after="60"/>
        <w:jc w:val="both"/>
        <w:rPr>
          <w:rFonts w:cstheme="minorHAnsi"/>
        </w:rPr>
      </w:pPr>
      <w:r w:rsidRPr="00CD784D">
        <w:rPr>
          <w:rFonts w:cstheme="minorHAnsi"/>
        </w:rPr>
        <w:t>Kobiety bierne zawodowo w dużej części nie tracą aktywności życiowej i w sprzyjających okolicznościach chętnie i aktywnie wr</w:t>
      </w:r>
      <w:r w:rsidR="00383D08">
        <w:rPr>
          <w:rFonts w:cstheme="minorHAnsi"/>
        </w:rPr>
        <w:t>acają</w:t>
      </w:r>
      <w:r w:rsidRPr="00CD784D">
        <w:rPr>
          <w:rFonts w:cstheme="minorHAnsi"/>
        </w:rPr>
        <w:t xml:space="preserve"> do wyzwań zawodowych. Przejściowo ich aktywność to praca w domu czy opieka nad osobami zależnymi. Będąc poza rynkiem pracy nie przestają wierzyć w</w:t>
      </w:r>
      <w:r w:rsidR="00D252BF">
        <w:rPr>
          <w:rFonts w:cstheme="minorHAnsi"/>
        </w:rPr>
        <w:t> </w:t>
      </w:r>
      <w:r w:rsidRPr="00CD784D">
        <w:rPr>
          <w:rFonts w:cstheme="minorHAnsi"/>
        </w:rPr>
        <w:t xml:space="preserve">siebie, </w:t>
      </w:r>
      <w:r w:rsidR="00383D08">
        <w:rPr>
          <w:rFonts w:cstheme="minorHAnsi"/>
        </w:rPr>
        <w:t xml:space="preserve">a </w:t>
      </w:r>
      <w:r w:rsidRPr="00CD784D">
        <w:rPr>
          <w:rFonts w:cstheme="minorHAnsi"/>
        </w:rPr>
        <w:t xml:space="preserve">duża część uważa, że nie miałaby problemu ze znalezieniem zatrudnienia. W powrocie do aktywności zawodowej pomogłaby im elastyczność pracodawców. Oczekują od pracodawców </w:t>
      </w:r>
      <w:r w:rsidR="00630063" w:rsidRPr="00CD784D">
        <w:rPr>
          <w:rFonts w:cstheme="minorHAnsi"/>
        </w:rPr>
        <w:t xml:space="preserve">przede wszystkim </w:t>
      </w:r>
      <w:r w:rsidRPr="00CD784D">
        <w:rPr>
          <w:rFonts w:cstheme="minorHAnsi"/>
        </w:rPr>
        <w:t xml:space="preserve">możliwości </w:t>
      </w:r>
      <w:r w:rsidR="004A05DF" w:rsidRPr="00CD784D">
        <w:rPr>
          <w:rFonts w:cstheme="minorHAnsi"/>
        </w:rPr>
        <w:t>pr</w:t>
      </w:r>
      <w:r w:rsidR="00630063" w:rsidRPr="00CD784D">
        <w:rPr>
          <w:rFonts w:cstheme="minorHAnsi"/>
        </w:rPr>
        <w:t>acy w krótszym wymiarze godzin.</w:t>
      </w:r>
    </w:p>
    <w:p w:rsidR="001610E6" w:rsidRPr="00A00211" w:rsidRDefault="001610E6" w:rsidP="00DE77E3">
      <w:pPr>
        <w:jc w:val="both"/>
      </w:pPr>
    </w:p>
    <w:p w:rsidR="001610E6" w:rsidRPr="00A00211" w:rsidRDefault="001610E6" w:rsidP="00DE77E3">
      <w:pPr>
        <w:jc w:val="both"/>
      </w:pPr>
    </w:p>
    <w:p w:rsidR="001610E6" w:rsidRPr="00A00211" w:rsidRDefault="001610E6" w:rsidP="00DE77E3">
      <w:pPr>
        <w:jc w:val="both"/>
      </w:pPr>
    </w:p>
    <w:p w:rsidR="00ED0FF4" w:rsidRDefault="00ED0FF4" w:rsidP="00DE77E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674B1E" w:rsidRDefault="00ED0FF4" w:rsidP="00DE77E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-233154</wp:posOffset>
            </wp:positionV>
            <wp:extent cx="7574400" cy="10000800"/>
            <wp:effectExtent l="0" t="0" r="7620" b="635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P-okladka-AKZ2-2018061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100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030" w:rsidRPr="007813EA" w:rsidRDefault="00952030" w:rsidP="007813EA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FFFFFF"/>
          <w:sz w:val="18"/>
          <w:szCs w:val="18"/>
        </w:rPr>
      </w:pPr>
    </w:p>
    <w:sectPr w:rsidR="00952030" w:rsidRPr="007813EA" w:rsidSect="00143B94">
      <w:footerReference w:type="default" r:id="rId21"/>
      <w:pgSz w:w="11906" w:h="16838"/>
      <w:pgMar w:top="1417" w:right="1416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E5" w:rsidRDefault="003255E5" w:rsidP="00887C0C">
      <w:pPr>
        <w:spacing w:after="0" w:line="240" w:lineRule="auto"/>
      </w:pPr>
      <w:r>
        <w:separator/>
      </w:r>
    </w:p>
  </w:endnote>
  <w:endnote w:type="continuationSeparator" w:id="0">
    <w:p w:rsidR="003255E5" w:rsidRDefault="003255E5" w:rsidP="0088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842291"/>
      <w:docPartObj>
        <w:docPartGallery w:val="Page Numbers (Bottom of Page)"/>
        <w:docPartUnique/>
      </w:docPartObj>
    </w:sdtPr>
    <w:sdtEndPr/>
    <w:sdtContent>
      <w:p w:rsidR="00757248" w:rsidRDefault="007572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3C9">
          <w:rPr>
            <w:noProof/>
          </w:rPr>
          <w:t>5</w:t>
        </w:r>
        <w:r>
          <w:fldChar w:fldCharType="end"/>
        </w:r>
      </w:p>
    </w:sdtContent>
  </w:sdt>
  <w:p w:rsidR="00757248" w:rsidRDefault="007572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E5" w:rsidRDefault="003255E5" w:rsidP="00887C0C">
      <w:pPr>
        <w:spacing w:after="0" w:line="240" w:lineRule="auto"/>
      </w:pPr>
      <w:r>
        <w:separator/>
      </w:r>
    </w:p>
  </w:footnote>
  <w:footnote w:type="continuationSeparator" w:id="0">
    <w:p w:rsidR="003255E5" w:rsidRDefault="003255E5" w:rsidP="00887C0C">
      <w:pPr>
        <w:spacing w:after="0" w:line="240" w:lineRule="auto"/>
      </w:pPr>
      <w:r>
        <w:continuationSeparator/>
      </w:r>
    </w:p>
  </w:footnote>
  <w:footnote w:id="1">
    <w:p w:rsidR="00ED38A7" w:rsidRPr="005B2BE4" w:rsidRDefault="00ED38A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Pr="005B2BE4">
        <w:rPr>
          <w:sz w:val="18"/>
          <w:szCs w:val="18"/>
        </w:rPr>
        <w:t xml:space="preserve"> Mediana – wartość środkowa oznacza, że połowa zbiorowości jest w wieku równym lub niższym od mediany,</w:t>
      </w:r>
      <w:r w:rsidR="00965653" w:rsidRPr="005B2BE4">
        <w:rPr>
          <w:sz w:val="18"/>
          <w:szCs w:val="18"/>
        </w:rPr>
        <w:t xml:space="preserve"> a połowa w wyższym lub równym.</w:t>
      </w:r>
    </w:p>
  </w:footnote>
  <w:footnote w:id="2">
    <w:p w:rsidR="00DA3AF9" w:rsidRDefault="00DA3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AF9">
        <w:rPr>
          <w:sz w:val="18"/>
          <w:szCs w:val="18"/>
        </w:rPr>
        <w:t>Przeciętne trwanie życia w wybranych krajach UE w 2015, Eurostat</w:t>
      </w:r>
      <w:r>
        <w:rPr>
          <w:sz w:val="18"/>
          <w:szCs w:val="18"/>
        </w:rPr>
        <w:t>.</w:t>
      </w:r>
    </w:p>
  </w:footnote>
  <w:footnote w:id="3">
    <w:p w:rsidR="000D5A7E" w:rsidRDefault="000D5A7E" w:rsidP="000D5A7E">
      <w:pPr>
        <w:pStyle w:val="Tekstprzypisudolnego"/>
      </w:pPr>
      <w:r>
        <w:rPr>
          <w:rStyle w:val="Odwoanieprzypisudolnego"/>
        </w:rPr>
        <w:footnoteRef/>
      </w:r>
      <w:r w:rsidRPr="007219E9">
        <w:rPr>
          <w:sz w:val="18"/>
          <w:szCs w:val="18"/>
        </w:rPr>
        <w:t xml:space="preserve"> W krajach UE wskaźnik kształcenia ustawicznego w 2017 r. wynosił 11,8%.</w:t>
      </w:r>
    </w:p>
  </w:footnote>
  <w:footnote w:id="4">
    <w:p w:rsidR="00F34E52" w:rsidRDefault="00F34E52" w:rsidP="00F34E52">
      <w:pPr>
        <w:autoSpaceDE w:val="0"/>
        <w:autoSpaceDN w:val="0"/>
        <w:adjustRightInd w:val="0"/>
        <w:spacing w:after="0" w:line="240" w:lineRule="auto"/>
      </w:pPr>
      <w:r>
        <w:rPr>
          <w:rStyle w:val="Odwoanieprzypisudolnego"/>
        </w:rPr>
        <w:footnoteRef/>
      </w:r>
      <w:r>
        <w:t xml:space="preserve"> „</w:t>
      </w:r>
      <w:r w:rsidRPr="00A00211">
        <w:rPr>
          <w:rFonts w:cstheme="minorHAnsi"/>
          <w:bCs/>
          <w:color w:val="000000"/>
          <w:sz w:val="20"/>
          <w:szCs w:val="20"/>
        </w:rPr>
        <w:t>Struktura miesięcznych wynagrodzeń brutto za październik 2016 r. w województwie pomorskim</w:t>
      </w:r>
      <w:r>
        <w:rPr>
          <w:rFonts w:cstheme="minorHAnsi"/>
          <w:bCs/>
          <w:color w:val="000000"/>
          <w:sz w:val="20"/>
          <w:szCs w:val="20"/>
        </w:rPr>
        <w:t xml:space="preserve">” </w:t>
      </w:r>
      <w:r>
        <w:rPr>
          <w:rFonts w:cstheme="minorHAnsi"/>
          <w:bCs/>
          <w:color w:val="000000"/>
          <w:sz w:val="20"/>
          <w:szCs w:val="20"/>
        </w:rPr>
        <w:br/>
        <w:t xml:space="preserve">US w </w:t>
      </w:r>
      <w:r w:rsidRPr="00A00211">
        <w:rPr>
          <w:rFonts w:cstheme="minorHAnsi"/>
          <w:bCs/>
          <w:sz w:val="20"/>
          <w:szCs w:val="20"/>
        </w:rPr>
        <w:t>Gdańsku 09.03.2018 r.</w:t>
      </w:r>
    </w:p>
  </w:footnote>
  <w:footnote w:id="5">
    <w:p w:rsidR="00E00310" w:rsidRDefault="00E00310">
      <w:pPr>
        <w:pStyle w:val="Tekstprzypisudolnego"/>
      </w:pPr>
      <w:r>
        <w:rPr>
          <w:rStyle w:val="Odwoanieprzypisudolnego"/>
        </w:rPr>
        <w:footnoteRef/>
      </w:r>
      <w:r>
        <w:t xml:space="preserve"> Współczynnik aktywności zawodowej – udział aktywnych zawodowo w liczbie ludności</w:t>
      </w:r>
    </w:p>
  </w:footnote>
  <w:footnote w:id="6">
    <w:p w:rsidR="00887C0C" w:rsidRPr="00B9180D" w:rsidRDefault="00887C0C">
      <w:pPr>
        <w:pStyle w:val="Tekstprzypisudolnego"/>
      </w:pPr>
      <w:r>
        <w:rPr>
          <w:rStyle w:val="Odwoanieprzypisudolnego"/>
        </w:rPr>
        <w:footnoteRef/>
      </w:r>
      <w:r w:rsidR="000F0DB6" w:rsidRPr="000F0DB6">
        <w:rPr>
          <w:spacing w:val="-4"/>
          <w:sz w:val="18"/>
          <w:szCs w:val="18"/>
        </w:rPr>
        <w:t xml:space="preserve"> </w:t>
      </w:r>
      <w:r w:rsidR="000F0DB6" w:rsidRPr="00E302BE">
        <w:rPr>
          <w:spacing w:val="-4"/>
          <w:sz w:val="18"/>
          <w:szCs w:val="18"/>
        </w:rPr>
        <w:t xml:space="preserve">Na podstawie </w:t>
      </w:r>
      <w:r w:rsidR="00911D15">
        <w:rPr>
          <w:spacing w:val="-4"/>
          <w:sz w:val="18"/>
          <w:szCs w:val="18"/>
        </w:rPr>
        <w:t>danych Eurostatu.</w:t>
      </w:r>
    </w:p>
  </w:footnote>
  <w:footnote w:id="7">
    <w:p w:rsidR="005D0D03" w:rsidRDefault="005D0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91E6C" w:rsidRPr="00E302BE">
        <w:rPr>
          <w:spacing w:val="-4"/>
          <w:sz w:val="18"/>
          <w:szCs w:val="18"/>
        </w:rPr>
        <w:t xml:space="preserve">Na podstawie </w:t>
      </w:r>
      <w:r w:rsidR="00991E6C" w:rsidRPr="00E302BE">
        <w:rPr>
          <w:rFonts w:cstheme="minorHAnsi"/>
          <w:spacing w:val="-4"/>
          <w:sz w:val="18"/>
          <w:szCs w:val="18"/>
        </w:rPr>
        <w:t>raportu Deloitte i Coca-cola „</w:t>
      </w:r>
      <w:hyperlink r:id="rId1" w:history="1">
        <w:r w:rsidR="00991E6C" w:rsidRPr="00EA5E6F">
          <w:rPr>
            <w:rStyle w:val="Hipercze"/>
            <w:rFonts w:cstheme="minorHAnsi"/>
            <w:i/>
            <w:spacing w:val="-4"/>
            <w:sz w:val="18"/>
            <w:szCs w:val="18"/>
          </w:rPr>
          <w:t>Ukryty potencjał polskiego rynku pracy. Kobiety nieaktywne zawodowo</w:t>
        </w:r>
      </w:hyperlink>
      <w:r w:rsidR="00991E6C" w:rsidRPr="00E302BE">
        <w:rPr>
          <w:rFonts w:cstheme="minorHAnsi"/>
          <w:spacing w:val="-4"/>
          <w:sz w:val="18"/>
          <w:szCs w:val="18"/>
        </w:rPr>
        <w:t>”,</w:t>
      </w:r>
      <w:r w:rsidR="00991E6C" w:rsidRPr="00E302BE">
        <w:rPr>
          <w:spacing w:val="-4"/>
          <w:sz w:val="18"/>
          <w:szCs w:val="18"/>
        </w:rPr>
        <w:t xml:space="preserve"> 2018 r.</w:t>
      </w:r>
    </w:p>
  </w:footnote>
  <w:footnote w:id="8">
    <w:p w:rsidR="00756104" w:rsidRDefault="00756104" w:rsidP="007561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504E32">
          <w:rPr>
            <w:rStyle w:val="Hipercze"/>
            <w:rFonts w:cstheme="minorHAnsi"/>
            <w:i/>
            <w:color w:val="auto"/>
            <w:sz w:val="18"/>
            <w:szCs w:val="18"/>
          </w:rPr>
          <w:t>Niewykorzystane zasoby pracy w województwie pomorskim</w:t>
        </w:r>
      </w:hyperlink>
      <w:r w:rsidRPr="00504E32">
        <w:rPr>
          <w:rFonts w:cstheme="minorHAnsi"/>
          <w:i/>
        </w:rPr>
        <w:t>,</w:t>
      </w:r>
      <w:r>
        <w:t xml:space="preserve"> </w:t>
      </w:r>
      <w:r w:rsidRPr="00504E32">
        <w:rPr>
          <w:sz w:val="18"/>
          <w:szCs w:val="18"/>
        </w:rPr>
        <w:t>2017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D0D"/>
    <w:multiLevelType w:val="hybridMultilevel"/>
    <w:tmpl w:val="DEFE6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241A"/>
    <w:multiLevelType w:val="hybridMultilevel"/>
    <w:tmpl w:val="3F121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8DC"/>
    <w:multiLevelType w:val="hybridMultilevel"/>
    <w:tmpl w:val="03007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4320C"/>
    <w:multiLevelType w:val="hybridMultilevel"/>
    <w:tmpl w:val="7E308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34"/>
    <w:rsid w:val="00011AF0"/>
    <w:rsid w:val="00020048"/>
    <w:rsid w:val="000278CC"/>
    <w:rsid w:val="00030EB4"/>
    <w:rsid w:val="0004557B"/>
    <w:rsid w:val="00074E3F"/>
    <w:rsid w:val="00082249"/>
    <w:rsid w:val="000862C8"/>
    <w:rsid w:val="000A0615"/>
    <w:rsid w:val="000B686F"/>
    <w:rsid w:val="000C3360"/>
    <w:rsid w:val="000D0160"/>
    <w:rsid w:val="000D5A7E"/>
    <w:rsid w:val="000D6E4A"/>
    <w:rsid w:val="000F0DB6"/>
    <w:rsid w:val="000F768B"/>
    <w:rsid w:val="00101A24"/>
    <w:rsid w:val="001036A7"/>
    <w:rsid w:val="001201B3"/>
    <w:rsid w:val="00143B94"/>
    <w:rsid w:val="001453E5"/>
    <w:rsid w:val="001466DE"/>
    <w:rsid w:val="001610E6"/>
    <w:rsid w:val="00165093"/>
    <w:rsid w:val="001748EC"/>
    <w:rsid w:val="00176C39"/>
    <w:rsid w:val="00194AFD"/>
    <w:rsid w:val="0019574F"/>
    <w:rsid w:val="001A3E22"/>
    <w:rsid w:val="001A609C"/>
    <w:rsid w:val="001B3D21"/>
    <w:rsid w:val="001D15E8"/>
    <w:rsid w:val="001E446B"/>
    <w:rsid w:val="001F739D"/>
    <w:rsid w:val="00232A8F"/>
    <w:rsid w:val="00233A3E"/>
    <w:rsid w:val="00251A78"/>
    <w:rsid w:val="00263A5C"/>
    <w:rsid w:val="00270C35"/>
    <w:rsid w:val="00276FBF"/>
    <w:rsid w:val="00290EE2"/>
    <w:rsid w:val="002917D7"/>
    <w:rsid w:val="00296725"/>
    <w:rsid w:val="002A0CF1"/>
    <w:rsid w:val="002B38BE"/>
    <w:rsid w:val="002B59CC"/>
    <w:rsid w:val="002C0C1B"/>
    <w:rsid w:val="002D1E65"/>
    <w:rsid w:val="002D4C02"/>
    <w:rsid w:val="002E13AD"/>
    <w:rsid w:val="00320049"/>
    <w:rsid w:val="003255E5"/>
    <w:rsid w:val="003258F7"/>
    <w:rsid w:val="00340F88"/>
    <w:rsid w:val="00347D47"/>
    <w:rsid w:val="003532B1"/>
    <w:rsid w:val="00373F71"/>
    <w:rsid w:val="00374242"/>
    <w:rsid w:val="0037678B"/>
    <w:rsid w:val="003805EC"/>
    <w:rsid w:val="003819BB"/>
    <w:rsid w:val="00381A15"/>
    <w:rsid w:val="00383D08"/>
    <w:rsid w:val="003871B7"/>
    <w:rsid w:val="00393DDE"/>
    <w:rsid w:val="003956D6"/>
    <w:rsid w:val="003B2FA4"/>
    <w:rsid w:val="003C16E6"/>
    <w:rsid w:val="003D17AD"/>
    <w:rsid w:val="003D5A23"/>
    <w:rsid w:val="003E2314"/>
    <w:rsid w:val="003E6166"/>
    <w:rsid w:val="00432375"/>
    <w:rsid w:val="0043559A"/>
    <w:rsid w:val="00465146"/>
    <w:rsid w:val="004715F3"/>
    <w:rsid w:val="0048135A"/>
    <w:rsid w:val="004827C3"/>
    <w:rsid w:val="0049558A"/>
    <w:rsid w:val="004A05DF"/>
    <w:rsid w:val="004A07DD"/>
    <w:rsid w:val="004B598D"/>
    <w:rsid w:val="004C0DC1"/>
    <w:rsid w:val="004C4A3E"/>
    <w:rsid w:val="004C599B"/>
    <w:rsid w:val="004D0D0A"/>
    <w:rsid w:val="00504E32"/>
    <w:rsid w:val="00510F36"/>
    <w:rsid w:val="00516474"/>
    <w:rsid w:val="00516B32"/>
    <w:rsid w:val="005341C5"/>
    <w:rsid w:val="00543709"/>
    <w:rsid w:val="005449FC"/>
    <w:rsid w:val="005462F8"/>
    <w:rsid w:val="0056255A"/>
    <w:rsid w:val="00566F6D"/>
    <w:rsid w:val="0057099F"/>
    <w:rsid w:val="00577C5B"/>
    <w:rsid w:val="00590A40"/>
    <w:rsid w:val="0059501A"/>
    <w:rsid w:val="005966BA"/>
    <w:rsid w:val="005A4047"/>
    <w:rsid w:val="005B0F6F"/>
    <w:rsid w:val="005B2BE4"/>
    <w:rsid w:val="005B3CDB"/>
    <w:rsid w:val="005B554E"/>
    <w:rsid w:val="005D0D03"/>
    <w:rsid w:val="0060169F"/>
    <w:rsid w:val="00630063"/>
    <w:rsid w:val="0064271B"/>
    <w:rsid w:val="00651832"/>
    <w:rsid w:val="00666F36"/>
    <w:rsid w:val="00671008"/>
    <w:rsid w:val="006714F0"/>
    <w:rsid w:val="00674B1E"/>
    <w:rsid w:val="00677FDA"/>
    <w:rsid w:val="006A5D03"/>
    <w:rsid w:val="006D2D1C"/>
    <w:rsid w:val="00713608"/>
    <w:rsid w:val="00720350"/>
    <w:rsid w:val="0072145E"/>
    <w:rsid w:val="00721575"/>
    <w:rsid w:val="007219E9"/>
    <w:rsid w:val="007374CA"/>
    <w:rsid w:val="00750E77"/>
    <w:rsid w:val="0075281B"/>
    <w:rsid w:val="00753E72"/>
    <w:rsid w:val="00756104"/>
    <w:rsid w:val="00757248"/>
    <w:rsid w:val="007603FF"/>
    <w:rsid w:val="00762436"/>
    <w:rsid w:val="007813EA"/>
    <w:rsid w:val="007818EC"/>
    <w:rsid w:val="00795B8F"/>
    <w:rsid w:val="007C5BA6"/>
    <w:rsid w:val="007C7D0E"/>
    <w:rsid w:val="007D4EF9"/>
    <w:rsid w:val="00802586"/>
    <w:rsid w:val="00826A5A"/>
    <w:rsid w:val="00830DA5"/>
    <w:rsid w:val="00831F01"/>
    <w:rsid w:val="00836544"/>
    <w:rsid w:val="008654F8"/>
    <w:rsid w:val="00886FE0"/>
    <w:rsid w:val="00887C0C"/>
    <w:rsid w:val="00895E25"/>
    <w:rsid w:val="008C5B8F"/>
    <w:rsid w:val="00911D15"/>
    <w:rsid w:val="00917227"/>
    <w:rsid w:val="00936056"/>
    <w:rsid w:val="00940D5C"/>
    <w:rsid w:val="00952030"/>
    <w:rsid w:val="00965653"/>
    <w:rsid w:val="00982DD3"/>
    <w:rsid w:val="00991E6C"/>
    <w:rsid w:val="009934C5"/>
    <w:rsid w:val="00996E81"/>
    <w:rsid w:val="009977BB"/>
    <w:rsid w:val="009A703A"/>
    <w:rsid w:val="009D1964"/>
    <w:rsid w:val="009D416A"/>
    <w:rsid w:val="00A00211"/>
    <w:rsid w:val="00A0605C"/>
    <w:rsid w:val="00A11C1F"/>
    <w:rsid w:val="00A21E60"/>
    <w:rsid w:val="00A27CE7"/>
    <w:rsid w:val="00A67A56"/>
    <w:rsid w:val="00A714B7"/>
    <w:rsid w:val="00A71F49"/>
    <w:rsid w:val="00A734C1"/>
    <w:rsid w:val="00A77B5E"/>
    <w:rsid w:val="00AA03BD"/>
    <w:rsid w:val="00AA64F1"/>
    <w:rsid w:val="00AA6C5E"/>
    <w:rsid w:val="00AB078F"/>
    <w:rsid w:val="00AB265D"/>
    <w:rsid w:val="00AC1019"/>
    <w:rsid w:val="00AD1FB1"/>
    <w:rsid w:val="00AE2486"/>
    <w:rsid w:val="00B05B08"/>
    <w:rsid w:val="00B4015A"/>
    <w:rsid w:val="00B54095"/>
    <w:rsid w:val="00B70766"/>
    <w:rsid w:val="00B76035"/>
    <w:rsid w:val="00B77F91"/>
    <w:rsid w:val="00B80D4C"/>
    <w:rsid w:val="00B9180D"/>
    <w:rsid w:val="00B95F68"/>
    <w:rsid w:val="00BA23D3"/>
    <w:rsid w:val="00BA3647"/>
    <w:rsid w:val="00BB0DB7"/>
    <w:rsid w:val="00BB4612"/>
    <w:rsid w:val="00BB6D4C"/>
    <w:rsid w:val="00BD1C3E"/>
    <w:rsid w:val="00BD427B"/>
    <w:rsid w:val="00C421FC"/>
    <w:rsid w:val="00C458F4"/>
    <w:rsid w:val="00C8153F"/>
    <w:rsid w:val="00CB2690"/>
    <w:rsid w:val="00CD784D"/>
    <w:rsid w:val="00CF16B3"/>
    <w:rsid w:val="00CF42A7"/>
    <w:rsid w:val="00CF7B4D"/>
    <w:rsid w:val="00D03F34"/>
    <w:rsid w:val="00D1143B"/>
    <w:rsid w:val="00D252BF"/>
    <w:rsid w:val="00D258B0"/>
    <w:rsid w:val="00D27341"/>
    <w:rsid w:val="00D344C2"/>
    <w:rsid w:val="00D43B10"/>
    <w:rsid w:val="00D5038A"/>
    <w:rsid w:val="00D5683E"/>
    <w:rsid w:val="00D57AFB"/>
    <w:rsid w:val="00D708F8"/>
    <w:rsid w:val="00D73AC0"/>
    <w:rsid w:val="00D84D58"/>
    <w:rsid w:val="00D87A2A"/>
    <w:rsid w:val="00D94E3C"/>
    <w:rsid w:val="00DA3AF9"/>
    <w:rsid w:val="00DA4DB8"/>
    <w:rsid w:val="00DB4813"/>
    <w:rsid w:val="00DE77E3"/>
    <w:rsid w:val="00E00310"/>
    <w:rsid w:val="00E16546"/>
    <w:rsid w:val="00E21CC6"/>
    <w:rsid w:val="00E245E5"/>
    <w:rsid w:val="00E302BE"/>
    <w:rsid w:val="00E46C2B"/>
    <w:rsid w:val="00E6209D"/>
    <w:rsid w:val="00E64423"/>
    <w:rsid w:val="00E7438D"/>
    <w:rsid w:val="00E8009A"/>
    <w:rsid w:val="00E966D7"/>
    <w:rsid w:val="00E97BDE"/>
    <w:rsid w:val="00EA2F51"/>
    <w:rsid w:val="00EA5E6F"/>
    <w:rsid w:val="00EA601D"/>
    <w:rsid w:val="00EB7276"/>
    <w:rsid w:val="00ED0FF4"/>
    <w:rsid w:val="00ED37F3"/>
    <w:rsid w:val="00ED38A7"/>
    <w:rsid w:val="00EE16F7"/>
    <w:rsid w:val="00EF0440"/>
    <w:rsid w:val="00EF72C5"/>
    <w:rsid w:val="00F12773"/>
    <w:rsid w:val="00F34E52"/>
    <w:rsid w:val="00F36518"/>
    <w:rsid w:val="00F406EA"/>
    <w:rsid w:val="00F621B4"/>
    <w:rsid w:val="00F77F6E"/>
    <w:rsid w:val="00FA72E2"/>
    <w:rsid w:val="00FC43C9"/>
    <w:rsid w:val="00FC5FCD"/>
    <w:rsid w:val="00FD6248"/>
    <w:rsid w:val="00FE0C20"/>
    <w:rsid w:val="00FE296B"/>
    <w:rsid w:val="00FF3B5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03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08F8"/>
    <w:rPr>
      <w:i/>
      <w:iCs/>
    </w:rPr>
  </w:style>
  <w:style w:type="paragraph" w:customStyle="1" w:styleId="Default">
    <w:name w:val="Default"/>
    <w:rsid w:val="00590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C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C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C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F3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D1C3E"/>
    <w:pPr>
      <w:spacing w:after="200" w:line="240" w:lineRule="auto"/>
    </w:pPr>
    <w:rPr>
      <w:i/>
      <w:iCs/>
      <w:color w:val="39302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248"/>
  </w:style>
  <w:style w:type="paragraph" w:styleId="Stopka">
    <w:name w:val="footer"/>
    <w:basedOn w:val="Normalny"/>
    <w:link w:val="StopkaZnak"/>
    <w:uiPriority w:val="99"/>
    <w:unhideWhenUsed/>
    <w:rsid w:val="0075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248"/>
  </w:style>
  <w:style w:type="table" w:styleId="Tabela-Siatka">
    <w:name w:val="Table Grid"/>
    <w:basedOn w:val="Standardowy"/>
    <w:uiPriority w:val="39"/>
    <w:rsid w:val="0083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610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6104"/>
    <w:rPr>
      <w:color w:val="7F723D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5E6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03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08F8"/>
    <w:rPr>
      <w:i/>
      <w:iCs/>
    </w:rPr>
  </w:style>
  <w:style w:type="paragraph" w:customStyle="1" w:styleId="Default">
    <w:name w:val="Default"/>
    <w:rsid w:val="00590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C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C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C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F3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D1C3E"/>
    <w:pPr>
      <w:spacing w:after="200" w:line="240" w:lineRule="auto"/>
    </w:pPr>
    <w:rPr>
      <w:i/>
      <w:iCs/>
      <w:color w:val="39302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248"/>
  </w:style>
  <w:style w:type="paragraph" w:styleId="Stopka">
    <w:name w:val="footer"/>
    <w:basedOn w:val="Normalny"/>
    <w:link w:val="StopkaZnak"/>
    <w:uiPriority w:val="99"/>
    <w:unhideWhenUsed/>
    <w:rsid w:val="0075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248"/>
  </w:style>
  <w:style w:type="table" w:styleId="Tabela-Siatka">
    <w:name w:val="Table Grid"/>
    <w:basedOn w:val="Standardowy"/>
    <w:uiPriority w:val="39"/>
    <w:rsid w:val="0083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610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6104"/>
    <w:rPr>
      <w:color w:val="7F723D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5E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orp.pl/g2/2018_02/aebc300b410e361e429a778d636f22cf.pdf" TargetMode="External"/><Relationship Id="rId1" Type="http://schemas.openxmlformats.org/officeDocument/2006/relationships/hyperlink" Target="https://www.cocacola.com.pl/content/dam/journey/pl/pl/private/pdfs/Ukryty_potencjal_kobiety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liki\wup\pab\Informacje%20na%20zewn&#261;trz\2018\KOBIETY\Wska&#378;niki%20art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pliki\wup\pab\Informacje%20na%20zewn&#261;trz\2018\KOBIETY\Wska&#378;niki%20art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pliki\wup\pab\Informacje%20na%20zewn&#261;trz\2018\KOBIETY\Wsp&#243;&#322;czynnik%20aktywno&#347;ci%20zawodowej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pliki\wup\pab\Informacje%20na%20zewn&#261;trz\2018\KOBIETY\Wska&#378;niki%20ar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140" b="0" i="0" baseline="0">
                <a:solidFill>
                  <a:sysClr val="windowText" lastClr="000000"/>
                </a:solidFill>
                <a:latin typeface="Calibri" panose="020F0502020204030204" pitchFamily="34" charset="0"/>
              </a:rPr>
              <a:t>wiek</a:t>
            </a:r>
          </a:p>
        </c:rich>
      </c:tx>
      <c:layout>
        <c:manualLayout>
          <c:xMode val="edge"/>
          <c:yMode val="edge"/>
          <c:x val="6.6067380378714485E-2"/>
          <c:y val="1.578526940425353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5701224846894141"/>
          <c:y val="6.3372673381502376E-2"/>
          <c:w val="0.78276552930883636"/>
          <c:h val="0.820920497066013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accent5">
                  <a:lumMod val="50000"/>
                </a:schemeClr>
              </a:solidFill>
            </a:ln>
            <a:effectLst/>
          </c:spPr>
          <c:invertIfNegative val="0"/>
          <c:cat>
            <c:strRef>
              <c:f>Arkusz1!$A$4:$A$18</c:f>
              <c:strCache>
                <c:ptCount val="15"/>
                <c:pt idx="0">
                  <c:v>0-4</c:v>
                </c:pt>
                <c:pt idx="1">
                  <c:v>5-9</c:v>
                </c:pt>
                <c:pt idx="2">
                  <c:v>10-18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50-59</c:v>
                </c:pt>
                <c:pt idx="12">
                  <c:v>60-64</c:v>
                </c:pt>
                <c:pt idx="13">
                  <c:v>60-69</c:v>
                </c:pt>
                <c:pt idx="14">
                  <c:v>70 i więcej</c:v>
                </c:pt>
              </c:strCache>
            </c:strRef>
          </c:cat>
          <c:val>
            <c:numRef>
              <c:f>Arkusz1!$B$4:$B$18</c:f>
              <c:numCache>
                <c:formatCode>General</c:formatCode>
                <c:ptCount val="15"/>
                <c:pt idx="0">
                  <c:v>65313</c:v>
                </c:pt>
                <c:pt idx="1">
                  <c:v>70179</c:v>
                </c:pt>
                <c:pt idx="2">
                  <c:v>62359</c:v>
                </c:pt>
                <c:pt idx="3" formatCode="#,##0">
                  <c:v>59797</c:v>
                </c:pt>
                <c:pt idx="4" formatCode="#,##0">
                  <c:v>68206</c:v>
                </c:pt>
                <c:pt idx="5" formatCode="#,##0">
                  <c:v>83812</c:v>
                </c:pt>
                <c:pt idx="6" formatCode="#,##0">
                  <c:v>97811</c:v>
                </c:pt>
                <c:pt idx="7" formatCode="#,##0">
                  <c:v>96056</c:v>
                </c:pt>
                <c:pt idx="8" formatCode="#,##0">
                  <c:v>89065</c:v>
                </c:pt>
                <c:pt idx="9" formatCode="#,##0">
                  <c:v>73042</c:v>
                </c:pt>
                <c:pt idx="10" formatCode="#,##0">
                  <c:v>67017</c:v>
                </c:pt>
                <c:pt idx="11" formatCode="#,##0">
                  <c:v>73334</c:v>
                </c:pt>
                <c:pt idx="12" formatCode="#,##0">
                  <c:v>75859</c:v>
                </c:pt>
                <c:pt idx="13" formatCode="#,##0">
                  <c:v>63645</c:v>
                </c:pt>
                <c:pt idx="14" formatCode="#,##0">
                  <c:v>86456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65-4AB7-A07F-A5F02A9C88C6}"/>
            </c:ext>
          </c:extLst>
        </c:ser>
        <c:ser>
          <c:idx val="1"/>
          <c:order val="1"/>
          <c:tx>
            <c:strRef>
              <c:f>Arkusz1!$C$3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Arkusz1!$A$4:$A$18</c:f>
              <c:strCache>
                <c:ptCount val="15"/>
                <c:pt idx="0">
                  <c:v>0-4</c:v>
                </c:pt>
                <c:pt idx="1">
                  <c:v>5-9</c:v>
                </c:pt>
                <c:pt idx="2">
                  <c:v>10-18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50-59</c:v>
                </c:pt>
                <c:pt idx="12">
                  <c:v>60-64</c:v>
                </c:pt>
                <c:pt idx="13">
                  <c:v>60-69</c:v>
                </c:pt>
                <c:pt idx="14">
                  <c:v>70 i więcej</c:v>
                </c:pt>
              </c:strCache>
            </c:strRef>
          </c:cat>
          <c:val>
            <c:numRef>
              <c:f>Arkusz1!$C$4:$C$18</c:f>
              <c:numCache>
                <c:formatCode>General</c:formatCode>
                <c:ptCount val="15"/>
                <c:pt idx="0">
                  <c:v>62089</c:v>
                </c:pt>
                <c:pt idx="1">
                  <c:v>66140</c:v>
                </c:pt>
                <c:pt idx="2">
                  <c:v>59058</c:v>
                </c:pt>
                <c:pt idx="3" formatCode="#,##0">
                  <c:v>57341</c:v>
                </c:pt>
                <c:pt idx="4" formatCode="#,##0">
                  <c:v>65252</c:v>
                </c:pt>
                <c:pt idx="5" formatCode="#,##0">
                  <c:v>82066</c:v>
                </c:pt>
                <c:pt idx="6" formatCode="#,##0">
                  <c:v>97215</c:v>
                </c:pt>
                <c:pt idx="7" formatCode="#,##0">
                  <c:v>94714</c:v>
                </c:pt>
                <c:pt idx="8" formatCode="#,##0">
                  <c:v>88015</c:v>
                </c:pt>
                <c:pt idx="9" formatCode="#,##0">
                  <c:v>71545</c:v>
                </c:pt>
                <c:pt idx="10" formatCode="#,##0">
                  <c:v>67939</c:v>
                </c:pt>
                <c:pt idx="11" formatCode="#,##0">
                  <c:v>76950</c:v>
                </c:pt>
                <c:pt idx="12" formatCode="#,##0">
                  <c:v>85865</c:v>
                </c:pt>
                <c:pt idx="13" formatCode="#,##0">
                  <c:v>76305</c:v>
                </c:pt>
                <c:pt idx="14" formatCode="#,##0">
                  <c:v>141806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65-4AB7-A07F-A5F02A9C8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407296"/>
        <c:axId val="52425472"/>
      </c:barChart>
      <c:catAx>
        <c:axId val="52407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25472"/>
        <c:crosses val="autoZero"/>
        <c:auto val="1"/>
        <c:lblAlgn val="ctr"/>
        <c:lblOffset val="100"/>
        <c:noMultiLvlLbl val="0"/>
      </c:catAx>
      <c:valAx>
        <c:axId val="52425472"/>
        <c:scaling>
          <c:orientation val="minMax"/>
          <c:max val="150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07296"/>
        <c:crosses val="autoZero"/>
        <c:crossBetween val="between"/>
        <c:majorUnit val="25000"/>
        <c:minorUnit val="500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75321923876234698"/>
          <c:y val="0.34034559181246499"/>
          <c:w val="0.24435000041398611"/>
          <c:h val="8.9097581337801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9082582209691318E-2"/>
          <c:y val="8.7260034904013961E-2"/>
          <c:w val="0.89370653343656714"/>
          <c:h val="0.83176869906968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'Wykresy (2)'!$B$4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1.4010507880910683E-2"/>
                  <c:y val="-1.3961605584642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FE-4C2C-9348-5EE1EA942BF1}"/>
                </c:ext>
              </c:extLst>
            </c:dLbl>
            <c:dLbl>
              <c:idx val="1"/>
              <c:layout>
                <c:manualLayout>
                  <c:x val="7.4211502782931356E-3"/>
                  <c:y val="-1.7452006980802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FE-4C2C-9348-5EE1EA942BF1}"/>
                </c:ext>
              </c:extLst>
            </c:dLbl>
            <c:dLbl>
              <c:idx val="2"/>
              <c:layout>
                <c:manualLayout>
                  <c:x val="2.7777777777777779E-3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FE-4C2C-9348-5EE1EA942BF1}"/>
                </c:ext>
              </c:extLst>
            </c:dLbl>
            <c:dLbl>
              <c:idx val="3"/>
              <c:layout>
                <c:manualLayout>
                  <c:x val="1.6345592527729044E-2"/>
                  <c:y val="-2.4432809773123908E-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6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Calibri" panose="020F05020202040302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94FE-4C2C-9348-5EE1EA942BF1}"/>
                </c:ext>
              </c:extLst>
            </c:dLbl>
            <c:dLbl>
              <c:idx val="4"/>
              <c:layout>
                <c:manualLayout>
                  <c:x val="-1.6345592527729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FE-4C2C-9348-5EE1EA942BF1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6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(2)'!$C$3:$G$3</c:f>
              <c:strCache>
                <c:ptCount val="5"/>
                <c:pt idx="0">
                  <c:v>15-24  </c:v>
                </c:pt>
                <c:pt idx="1">
                  <c:v>25-34 </c:v>
                </c:pt>
                <c:pt idx="2">
                  <c:v>35-44 </c:v>
                </c:pt>
                <c:pt idx="3">
                  <c:v>45-54 </c:v>
                </c:pt>
                <c:pt idx="4">
                  <c:v>55 lat i więcej</c:v>
                </c:pt>
              </c:strCache>
            </c:strRef>
          </c:cat>
          <c:val>
            <c:numRef>
              <c:f>'Wykresy (2)'!$C$4:$G$4</c:f>
              <c:numCache>
                <c:formatCode>0.0%</c:formatCode>
                <c:ptCount val="5"/>
                <c:pt idx="0">
                  <c:v>0.161</c:v>
                </c:pt>
                <c:pt idx="1">
                  <c:v>9.0999999999999998E-2</c:v>
                </c:pt>
                <c:pt idx="2">
                  <c:v>7.5999999999999998E-2</c:v>
                </c:pt>
                <c:pt idx="3">
                  <c:v>6.3E-2</c:v>
                </c:pt>
                <c:pt idx="4">
                  <c:v>0.60899999999999999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4FE-4C2C-9348-5EE1EA942BF1}"/>
            </c:ext>
          </c:extLst>
        </c:ser>
        <c:ser>
          <c:idx val="1"/>
          <c:order val="1"/>
          <c:tx>
            <c:strRef>
              <c:f>'Wykresy (2)'!$B$5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3404023226679456E-3"/>
                  <c:y val="0.112908230221222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 baseline="0"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FE-4C2C-9348-5EE1EA942BF1}"/>
                </c:ext>
              </c:extLst>
            </c:dLbl>
            <c:dLbl>
              <c:idx val="1"/>
              <c:layout>
                <c:manualLayout>
                  <c:x val="9.3404975920660088E-3"/>
                  <c:y val="3.34704255718035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 baseline="0"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9550588137953853E-2"/>
                      <c:h val="5.307169064599909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4FE-4C2C-9348-5EE1EA942BF1}"/>
                </c:ext>
              </c:extLst>
            </c:dLbl>
            <c:dLbl>
              <c:idx val="2"/>
              <c:layout>
                <c:manualLayout>
                  <c:x val="6.8357698481881259E-3"/>
                  <c:y val="5.48181477315334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 baseline="0"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FE-4C2C-9348-5EE1EA942BF1}"/>
                </c:ext>
              </c:extLst>
            </c:dLbl>
            <c:dLbl>
              <c:idx val="3"/>
              <c:layout>
                <c:manualLayout>
                  <c:x val="1.042294849259995E-2"/>
                  <c:y val="7.86274371953505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 baseline="0"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7.18856727847723E-2"/>
                      <c:h val="8.79757046076046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94FE-4C2C-9348-5EE1EA942BF1}"/>
                </c:ext>
              </c:extLst>
            </c:dLbl>
            <c:dLbl>
              <c:idx val="4"/>
              <c:layout>
                <c:manualLayout>
                  <c:x val="1.159066550438001E-2"/>
                  <c:y val="0.11044619422572176"/>
                </c:manualLayout>
              </c:layout>
              <c:tx>
                <c:rich>
                  <a:bodyPr/>
                  <a:lstStyle/>
                  <a:p>
                    <a:fld id="{64782E51-2E90-4A41-9A9B-D185A4A8D813}" type="VALUE">
                      <a:rPr lang="en-US" b="1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94FE-4C2C-9348-5EE1EA942B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 baseline="0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'Wykresy (2)'!$C$3:$G$3</c:f>
              <c:strCache>
                <c:ptCount val="5"/>
                <c:pt idx="0">
                  <c:v>15-24  </c:v>
                </c:pt>
                <c:pt idx="1">
                  <c:v>25-34 </c:v>
                </c:pt>
                <c:pt idx="2">
                  <c:v>35-44 </c:v>
                </c:pt>
                <c:pt idx="3">
                  <c:v>45-54 </c:v>
                </c:pt>
                <c:pt idx="4">
                  <c:v>55 lat i więcej</c:v>
                </c:pt>
              </c:strCache>
            </c:strRef>
          </c:cat>
          <c:val>
            <c:numRef>
              <c:f>'Wykresy (2)'!$C$5:$G$5</c:f>
              <c:numCache>
                <c:formatCode>0.0%</c:formatCode>
                <c:ptCount val="5"/>
                <c:pt idx="0">
                  <c:v>0.253</c:v>
                </c:pt>
                <c:pt idx="1">
                  <c:v>2.1000000000000001E-2</c:v>
                </c:pt>
                <c:pt idx="2">
                  <c:v>2.8000000000000001E-2</c:v>
                </c:pt>
                <c:pt idx="3">
                  <c:v>5.2999999999999999E-2</c:v>
                </c:pt>
                <c:pt idx="4">
                  <c:v>0.64100000000000001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4FE-4C2C-9348-5EE1EA942B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2075136"/>
        <c:axId val="202085504"/>
        <c:axId val="0"/>
      </c:bar3DChart>
      <c:catAx>
        <c:axId val="202075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 sz="1050" b="0"/>
                  <a:t>wiek</a:t>
                </a:r>
              </a:p>
            </c:rich>
          </c:tx>
          <c:layout>
            <c:manualLayout>
              <c:xMode val="edge"/>
              <c:yMode val="edge"/>
              <c:x val="0.9336955210695751"/>
              <c:y val="0.8582142857142857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solidFill>
            <a:schemeClr val="accent4">
              <a:lumMod val="40000"/>
              <a:lumOff val="60000"/>
            </a:schemeClr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2085504"/>
        <c:crossesAt val="0"/>
        <c:auto val="1"/>
        <c:lblAlgn val="ctr"/>
        <c:lblOffset val="100"/>
        <c:noMultiLvlLbl val="0"/>
      </c:catAx>
      <c:valAx>
        <c:axId val="2020855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20751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17613882656681"/>
          <c:y val="0.12253046494188227"/>
          <c:w val="0.19370650356545724"/>
          <c:h val="0.24951162354705661"/>
        </c:manualLayout>
      </c:layout>
      <c:overlay val="0"/>
      <c:txPr>
        <a:bodyPr/>
        <a:lstStyle/>
        <a:p>
          <a:pPr>
            <a:defRPr sz="1000" b="1"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pl-PL">
                <a:solidFill>
                  <a:schemeClr val="accent2">
                    <a:lumMod val="75000"/>
                  </a:schemeClr>
                </a:solidFill>
              </a:rPr>
              <a:t>KOBIETY</a:t>
            </a:r>
          </a:p>
        </c:rich>
      </c:tx>
      <c:layout>
        <c:manualLayout>
          <c:xMode val="edge"/>
          <c:yMode val="edge"/>
          <c:x val="0.58218532852884919"/>
          <c:y val="2.414746993835072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754855643044619"/>
          <c:y val="2.3148148148148147E-2"/>
          <c:w val="0.53888888888888886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A5C3-47BE-8D7C-545AB962678F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A5C3-47BE-8D7C-545AB962678F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A5C3-47BE-8D7C-545AB962678F}"/>
              </c:ext>
            </c:extLst>
          </c:dPt>
          <c:dLbls>
            <c:dLbl>
              <c:idx val="1"/>
              <c:layout>
                <c:manualLayout>
                  <c:x val="-0.11623181248685382"/>
                  <c:y val="-0.248934433435055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C3-47BE-8D7C-545AB962678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Wykresy!$L$3:$N$3</c:f>
              <c:strCache>
                <c:ptCount val="3"/>
                <c:pt idx="0">
                  <c:v>przedprodukcyjny </c:v>
                </c:pt>
                <c:pt idx="1">
                  <c:v>produkcyjny</c:v>
                </c:pt>
                <c:pt idx="2">
                  <c:v>poprodukcyjny</c:v>
                </c:pt>
              </c:strCache>
            </c:strRef>
          </c:cat>
          <c:val>
            <c:numRef>
              <c:f>Wykresy!$L$4:$N$4</c:f>
              <c:numCache>
                <c:formatCode>0%</c:formatCode>
                <c:ptCount val="3"/>
                <c:pt idx="0">
                  <c:v>0.16</c:v>
                </c:pt>
                <c:pt idx="1">
                  <c:v>0.59</c:v>
                </c:pt>
                <c:pt idx="2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C3-47BE-8D7C-545AB96267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2060"/>
                </a:solidFill>
              </a:defRPr>
            </a:pPr>
            <a:r>
              <a:rPr lang="en-US">
                <a:solidFill>
                  <a:srgbClr val="002060"/>
                </a:solidFill>
              </a:rPr>
              <a:t>MĘŻCZYŹNI</a:t>
            </a:r>
          </a:p>
        </c:rich>
      </c:tx>
      <c:layout>
        <c:manualLayout>
          <c:xMode val="edge"/>
          <c:yMode val="edge"/>
          <c:x val="0.5988839140205513"/>
          <c:y val="2.2263711881375658E-3"/>
        </c:manualLayout>
      </c:layout>
      <c:overlay val="1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0.13460569084493576"/>
          <c:y val="5.64546343471772E-2"/>
          <c:w val="0.53888888888888886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4D9C-42E5-BF70-4C9E58DA4FDD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4D9C-42E5-BF70-4C9E58DA4FDD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4D9C-42E5-BF70-4C9E58DA4FDD}"/>
              </c:ext>
            </c:extLst>
          </c:dPt>
          <c:dLbls>
            <c:dLbl>
              <c:idx val="1"/>
              <c:layout>
                <c:manualLayout>
                  <c:x val="0.11972154142983779"/>
                  <c:y val="-0.249803921568627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9C-42E5-BF70-4C9E58DA4FDD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Wykresy!$R$3:$T$3</c:f>
              <c:strCache>
                <c:ptCount val="3"/>
                <c:pt idx="0">
                  <c:v>przedprodukcyjny</c:v>
                </c:pt>
                <c:pt idx="1">
                  <c:v>produkcyjny</c:v>
                </c:pt>
                <c:pt idx="2">
                  <c:v>poprodukcyjny</c:v>
                </c:pt>
              </c:strCache>
            </c:strRef>
          </c:cat>
          <c:val>
            <c:numRef>
              <c:f>Wykresy!$R$4:$T$4</c:f>
              <c:numCache>
                <c:formatCode>0%</c:formatCode>
                <c:ptCount val="3"/>
                <c:pt idx="0">
                  <c:v>0.17</c:v>
                </c:pt>
                <c:pt idx="1">
                  <c:v>0.69</c:v>
                </c:pt>
                <c:pt idx="2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D9C-42E5-BF70-4C9E58DA4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00" b="1" baseline="0">
                <a:latin typeface="Arial Narrow" panose="020B0606020202030204" pitchFamily="34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b="1" baseline="0">
                <a:latin typeface="Arial Narrow" panose="020B0606020202030204" pitchFamily="34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b="1" baseline="0">
                <a:latin typeface="Arial Narrow" panose="020B0606020202030204" pitchFamily="34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.68848344299428321"/>
          <c:y val="0.24222561985577043"/>
          <c:w val="0.31151657367332397"/>
          <c:h val="0.57422113497948668"/>
        </c:manualLayout>
      </c:layout>
      <c:overlay val="0"/>
      <c:txPr>
        <a:bodyPr/>
        <a:lstStyle/>
        <a:p>
          <a:pPr>
            <a:defRPr sz="800" baseline="0">
              <a:latin typeface="Arial Narrow" panose="020B060602020203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28265845197152E-2"/>
          <c:y val="7.0588363954505684E-2"/>
          <c:w val="0.88378853157935022"/>
          <c:h val="0.53399551618547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Wykresy!$C$33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1.6666666666666767E-2"/>
                  <c:y val="-3.62135790597762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0B-4405-ADBA-CF967DF64B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1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Wykresy!$B$34:$B$38</c:f>
              <c:strCache>
                <c:ptCount val="5"/>
                <c:pt idx="0">
                  <c:v>wyższe</c:v>
                </c:pt>
                <c:pt idx="1">
                  <c:v>policealne i średnie zawod.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gimnazjalne, podstawowe i niższe</c:v>
                </c:pt>
              </c:strCache>
            </c:strRef>
          </c:cat>
          <c:val>
            <c:numRef>
              <c:f>Wykresy!$C$34:$C$38</c:f>
              <c:numCache>
                <c:formatCode>0.0%</c:formatCode>
                <c:ptCount val="5"/>
                <c:pt idx="0">
                  <c:v>0.26400000000000001</c:v>
                </c:pt>
                <c:pt idx="1">
                  <c:v>0.221</c:v>
                </c:pt>
                <c:pt idx="2">
                  <c:v>0.14000000000000001</c:v>
                </c:pt>
                <c:pt idx="3">
                  <c:v>0.17699999999999999</c:v>
                </c:pt>
                <c:pt idx="4">
                  <c:v>0.19900000000000001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0B-4405-ADBA-CF967DF64B34}"/>
            </c:ext>
          </c:extLst>
        </c:ser>
        <c:ser>
          <c:idx val="1"/>
          <c:order val="1"/>
          <c:tx>
            <c:strRef>
              <c:f>Wykresy!$D$33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0600885515496522E-3"/>
                  <c:y val="1.7699115044247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0B-4405-ADBA-CF967DF64B34}"/>
                </c:ext>
              </c:extLst>
            </c:dLbl>
            <c:dLbl>
              <c:idx val="1"/>
              <c:layout>
                <c:manualLayout>
                  <c:x val="2.5157232704402475E-2"/>
                  <c:y val="1.71570557356800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3156089193825042E-2"/>
                      <c:h val="7.83580361278369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60B-4405-ADBA-CF967DF64B34}"/>
                </c:ext>
              </c:extLst>
            </c:dLbl>
            <c:dLbl>
              <c:idx val="4"/>
              <c:layout>
                <c:manualLayout>
                  <c:x val="6.8610634648370496E-3"/>
                  <c:y val="1.47060753435231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3156089193825042E-2"/>
                      <c:h val="0.102867840049405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860B-4405-ADBA-CF967DF64B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Wykresy!$B$34:$B$38</c:f>
              <c:strCache>
                <c:ptCount val="5"/>
                <c:pt idx="0">
                  <c:v>wyższe</c:v>
                </c:pt>
                <c:pt idx="1">
                  <c:v>policealne i średnie zawod.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gimnazjalne, podstawowe i niższe</c:v>
                </c:pt>
              </c:strCache>
            </c:strRef>
          </c:cat>
          <c:val>
            <c:numRef>
              <c:f>Wykresy!$D$34:$D$38</c:f>
              <c:numCache>
                <c:formatCode>0.0%</c:formatCode>
                <c:ptCount val="5"/>
                <c:pt idx="0">
                  <c:v>0.22900000000000001</c:v>
                </c:pt>
                <c:pt idx="1">
                  <c:v>0.20599999999999999</c:v>
                </c:pt>
                <c:pt idx="2">
                  <c:v>9.4E-2</c:v>
                </c:pt>
                <c:pt idx="3">
                  <c:v>0.314</c:v>
                </c:pt>
                <c:pt idx="4">
                  <c:v>0.157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60B-4405-ADBA-CF967DF64B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368896"/>
        <c:axId val="136370432"/>
      </c:barChart>
      <c:catAx>
        <c:axId val="13636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90" b="1" i="0" u="none" strike="noStrike" kern="1200" baseline="600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pl-PL"/>
          </a:p>
        </c:txPr>
        <c:crossAx val="136370432"/>
        <c:crosses val="autoZero"/>
        <c:auto val="1"/>
        <c:lblAlgn val="ctr"/>
        <c:lblOffset val="100"/>
        <c:noMultiLvlLbl val="0"/>
      </c:catAx>
      <c:valAx>
        <c:axId val="13637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7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636889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193922188297875E-2"/>
          <c:y val="0.86937062554680666"/>
          <c:w val="0.2741835841948328"/>
          <c:h val="0.130629374453193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6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467059068357825E-2"/>
          <c:y val="0.12269059196847609"/>
          <c:w val="0.71086001044820046"/>
          <c:h val="0.78598658588831583"/>
        </c:manualLayout>
      </c:layout>
      <c:lineChart>
        <c:grouping val="standard"/>
        <c:varyColors val="0"/>
        <c:ser>
          <c:idx val="0"/>
          <c:order val="0"/>
          <c:tx>
            <c:strRef>
              <c:f>Arkusz1!$C$14</c:f>
              <c:strCache>
                <c:ptCount val="1"/>
                <c:pt idx="0">
                  <c:v>kobiety</c:v>
                </c:pt>
              </c:strCache>
            </c:strRef>
          </c:tx>
          <c:spPr>
            <a:ln w="28575"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8288547340772636E-2"/>
                  <c:y val="-4.6109496135758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13-457B-8A00-57D5A6B9EFAE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13-457B-8A00-57D5A6B9EFAE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13-457B-8A00-57D5A6B9EFAE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13-457B-8A00-57D5A6B9EFAE}"/>
                </c:ext>
              </c:extLst>
            </c:dLbl>
            <c:dLbl>
              <c:idx val="4"/>
              <c:spPr>
                <a:solidFill>
                  <a:schemeClr val="accent2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Arkusz1!$B$15:$B$19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Arkusz1!$C$15:$C$19</c:f>
              <c:numCache>
                <c:formatCode>0.0%</c:formatCode>
                <c:ptCount val="5"/>
                <c:pt idx="0">
                  <c:v>0.47499999999999998</c:v>
                </c:pt>
                <c:pt idx="1">
                  <c:v>0.46800000000000003</c:v>
                </c:pt>
                <c:pt idx="2">
                  <c:v>0.48599999999999999</c:v>
                </c:pt>
                <c:pt idx="3">
                  <c:v>0.49399999999999999</c:v>
                </c:pt>
                <c:pt idx="4">
                  <c:v>0.497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A13-457B-8A00-57D5A6B9EFAE}"/>
            </c:ext>
          </c:extLst>
        </c:ser>
        <c:ser>
          <c:idx val="1"/>
          <c:order val="1"/>
          <c:tx>
            <c:strRef>
              <c:f>Arkusz1!$D$14</c:f>
              <c:strCache>
                <c:ptCount val="1"/>
                <c:pt idx="0">
                  <c:v>mężczyźni</c:v>
                </c:pt>
              </c:strCache>
            </c:strRef>
          </c:tx>
          <c:spPr>
            <a:ln>
              <a:solidFill>
                <a:schemeClr val="tx2">
                  <a:lumMod val="50000"/>
                </a:scheme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9603966277081681E-2"/>
                  <c:y val="-4.26179604261796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13-457B-8A00-57D5A6B9EFAE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13-457B-8A00-57D5A6B9EFAE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A13-457B-8A00-57D5A6B9EFAE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13-457B-8A00-57D5A6B9EFAE}"/>
                </c:ext>
              </c:extLst>
            </c:dLbl>
            <c:dLbl>
              <c:idx val="4"/>
              <c:spPr>
                <a:solidFill>
                  <a:schemeClr val="accent5">
                    <a:lumMod val="60000"/>
                    <a:lumOff val="40000"/>
                  </a:schemeClr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Arkusz1!$B$15:$B$19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Arkusz1!$D$15:$D$19</c:f>
              <c:numCache>
                <c:formatCode>0.0%</c:formatCode>
                <c:ptCount val="5"/>
                <c:pt idx="0">
                  <c:v>0.64800000000000002</c:v>
                </c:pt>
                <c:pt idx="1">
                  <c:v>0.65200000000000002</c:v>
                </c:pt>
                <c:pt idx="2">
                  <c:v>0.67</c:v>
                </c:pt>
                <c:pt idx="3">
                  <c:v>0.67100000000000004</c:v>
                </c:pt>
                <c:pt idx="4">
                  <c:v>0.67600000000000005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DA13-457B-8A00-57D5A6B9EF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097600"/>
        <c:axId val="201099520"/>
      </c:lineChart>
      <c:catAx>
        <c:axId val="201097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 sz="1100" b="0"/>
                  <a:t>lata</a:t>
                </a:r>
              </a:p>
            </c:rich>
          </c:tx>
          <c:layout>
            <c:manualLayout>
              <c:xMode val="edge"/>
              <c:yMode val="edge"/>
              <c:x val="0.85240282464691919"/>
              <c:y val="0.891586172049349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0">
                <a:solidFill>
                  <a:sysClr val="windowText" lastClr="000000"/>
                </a:solidFill>
              </a:defRPr>
            </a:pPr>
            <a:endParaRPr lang="pl-PL"/>
          </a:p>
        </c:txPr>
        <c:crossAx val="201099520"/>
        <c:crossesAt val="0"/>
        <c:auto val="1"/>
        <c:lblAlgn val="ctr"/>
        <c:lblOffset val="100"/>
        <c:noMultiLvlLbl val="0"/>
      </c:catAx>
      <c:valAx>
        <c:axId val="201099520"/>
        <c:scaling>
          <c:orientation val="minMax"/>
          <c:min val="0.4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000" b="0">
                <a:solidFill>
                  <a:sysClr val="windowText" lastClr="000000"/>
                </a:solidFill>
              </a:defRPr>
            </a:pPr>
            <a:endParaRPr lang="pl-PL"/>
          </a:p>
        </c:txPr>
        <c:crossAx val="201097600"/>
        <c:crosses val="autoZero"/>
        <c:crossBetween val="between"/>
        <c:majorUnit val="0.1"/>
      </c:valAx>
    </c:plotArea>
    <c:legend>
      <c:legendPos val="r"/>
      <c:layout>
        <c:manualLayout>
          <c:xMode val="edge"/>
          <c:yMode val="edge"/>
          <c:x val="0.82667822827652759"/>
          <c:y val="0.28746864975211434"/>
          <c:w val="0.17332177172347241"/>
          <c:h val="0.27691455234762319"/>
        </c:manualLayout>
      </c:layout>
      <c:overlay val="0"/>
      <c:txPr>
        <a:bodyPr/>
        <a:lstStyle/>
        <a:p>
          <a:pPr>
            <a:defRPr sz="1050"/>
          </a:pPr>
          <a:endParaRPr lang="pl-PL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9082582209691318E-2"/>
          <c:y val="8.7260034904013961E-2"/>
          <c:w val="0.90679540532718583"/>
          <c:h val="0.744955281063800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Wykresy!$B$4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1.3536379018612521E-2"/>
                  <c:y val="6.3191153238546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D6-4943-A303-A917EFA1F335}"/>
                </c:ext>
              </c:extLst>
            </c:dLbl>
            <c:dLbl>
              <c:idx val="1"/>
              <c:layout>
                <c:manualLayout>
                  <c:x val="-2.1907616877839549E-2"/>
                  <c:y val="-1.6541652672562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D6-4943-A303-A917EFA1F335}"/>
                </c:ext>
              </c:extLst>
            </c:dLbl>
            <c:dLbl>
              <c:idx val="2"/>
              <c:layout>
                <c:manualLayout>
                  <c:x val="-7.3745731022200906E-3"/>
                  <c:y val="3.5984127576470003E-3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4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Calibri" panose="020F05020202040302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4805414551607422E-2"/>
                      <c:h val="7.240138821509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0ED6-4943-A303-A917EFA1F335}"/>
                </c:ext>
              </c:extLst>
            </c:dLbl>
            <c:dLbl>
              <c:idx val="3"/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4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Calibri" panose="020F05020202040302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536379018612439E-2"/>
                  <c:y val="6.3191153238546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ED6-4943-A303-A917EFA1F335}"/>
                </c:ext>
              </c:extLst>
            </c:dLbl>
            <c:dLbl>
              <c:idx val="5"/>
              <c:layout>
                <c:manualLayout>
                  <c:x val="-9.0242526790751797E-3"/>
                  <c:y val="9.4786729857819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ED6-4943-A303-A917EFA1F335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4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Wykresy!$C$3:$H$3</c:f>
              <c:strCache>
                <c:ptCount val="6"/>
                <c:pt idx="0">
                  <c:v>15-24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i więcej</c:v>
                </c:pt>
              </c:strCache>
            </c:strRef>
          </c:cat>
          <c:val>
            <c:numRef>
              <c:f>Wykresy!$C$4:$H$4</c:f>
              <c:numCache>
                <c:formatCode>0.0%</c:formatCode>
                <c:ptCount val="6"/>
                <c:pt idx="0">
                  <c:v>0.33700000000000002</c:v>
                </c:pt>
                <c:pt idx="1">
                  <c:v>0.73599999999999999</c:v>
                </c:pt>
                <c:pt idx="2">
                  <c:v>0.78400000000000003</c:v>
                </c:pt>
                <c:pt idx="3">
                  <c:v>0.76900000000000002</c:v>
                </c:pt>
                <c:pt idx="4">
                  <c:v>0.45200000000000001</c:v>
                </c:pt>
                <c:pt idx="5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ED6-4943-A303-A917EFA1F335}"/>
            </c:ext>
          </c:extLst>
        </c:ser>
        <c:ser>
          <c:idx val="1"/>
          <c:order val="1"/>
          <c:tx>
            <c:strRef>
              <c:f>Wykresy!$B$5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304568527918759E-2"/>
                  <c:y val="6.31911532385471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ED6-4943-A303-A917EFA1F335}"/>
                </c:ext>
              </c:extLst>
            </c:dLbl>
            <c:dLbl>
              <c:idx val="2"/>
              <c:layout>
                <c:manualLayout>
                  <c:x val="1.8048505358150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ED6-4943-A303-A917EFA1F335}"/>
                </c:ext>
              </c:extLst>
            </c:dLbl>
            <c:dLbl>
              <c:idx val="3"/>
              <c:layout>
                <c:manualLayout>
                  <c:x val="2.9328821206993712E-2"/>
                  <c:y val="-1.2638230647709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ED6-4943-A303-A917EFA1F335}"/>
                </c:ext>
              </c:extLst>
            </c:dLbl>
            <c:dLbl>
              <c:idx val="4"/>
              <c:layout>
                <c:manualLayout>
                  <c:x val="2.93288212069936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ED6-4943-A303-A917EFA1F335}"/>
                </c:ext>
              </c:extLst>
            </c:dLbl>
            <c:dLbl>
              <c:idx val="5"/>
              <c:layout>
                <c:manualLayout>
                  <c:x val="1.3536379018612521E-2"/>
                  <c:y val="3.15955766192721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ED6-4943-A303-A917EFA1F33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Wykresy!$C$3:$H$3</c:f>
              <c:strCache>
                <c:ptCount val="6"/>
                <c:pt idx="0">
                  <c:v>15-24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i więcej</c:v>
                </c:pt>
              </c:strCache>
            </c:strRef>
          </c:cat>
          <c:val>
            <c:numRef>
              <c:f>Wykresy!$C$5:$H$5</c:f>
              <c:numCache>
                <c:formatCode>0.0%</c:formatCode>
                <c:ptCount val="6"/>
                <c:pt idx="0">
                  <c:v>0.41299999999999998</c:v>
                </c:pt>
                <c:pt idx="1">
                  <c:v>0.96</c:v>
                </c:pt>
                <c:pt idx="2">
                  <c:v>0.94899999999999995</c:v>
                </c:pt>
                <c:pt idx="3">
                  <c:v>0.88100000000000001</c:v>
                </c:pt>
                <c:pt idx="4">
                  <c:v>0.627</c:v>
                </c:pt>
                <c:pt idx="5" formatCode="0.00%">
                  <c:v>0.11700000000000001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ED6-4943-A303-A917EFA1F3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111040"/>
        <c:axId val="201112960"/>
        <c:axId val="0"/>
      </c:bar3DChart>
      <c:catAx>
        <c:axId val="201111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10" baseline="0">
                    <a:latin typeface="Calibri" panose="020F0502020204030204" pitchFamily="34" charset="0"/>
                  </a:defRPr>
                </a:pPr>
                <a:r>
                  <a:rPr lang="pl-PL" sz="1110" b="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</a:rPr>
                  <a:t>wiek</a:t>
                </a:r>
              </a:p>
            </c:rich>
          </c:tx>
          <c:layout>
            <c:manualLayout>
              <c:xMode val="edge"/>
              <c:yMode val="edge"/>
              <c:x val="0.92949411780380242"/>
              <c:y val="0.8522359468099663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solidFill>
            <a:schemeClr val="accent4">
              <a:lumMod val="40000"/>
              <a:lumOff val="60000"/>
            </a:schemeClr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1112960"/>
        <c:crossesAt val="0"/>
        <c:auto val="1"/>
        <c:lblAlgn val="ctr"/>
        <c:lblOffset val="100"/>
        <c:noMultiLvlLbl val="0"/>
      </c:catAx>
      <c:valAx>
        <c:axId val="20111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1111040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80815834751763238"/>
          <c:y val="0.12746628893610526"/>
          <c:w val="0.19184165248236765"/>
          <c:h val="0.34441089891387888"/>
        </c:manualLayout>
      </c:layout>
      <c:overlay val="0"/>
      <c:txPr>
        <a:bodyPr/>
        <a:lstStyle/>
        <a:p>
          <a:pPr>
            <a:defRPr sz="1130" baseline="0">
              <a:latin typeface="Calibri" panose="020F050202020403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0">
                <a:solidFill>
                  <a:sysClr val="windowText" lastClr="000000"/>
                </a:solidFill>
              </a:rPr>
              <a:t>tys.</a:t>
            </a:r>
          </a:p>
        </c:rich>
      </c:tx>
      <c:layout>
        <c:manualLayout>
          <c:xMode val="edge"/>
          <c:yMode val="edge"/>
          <c:x val="1.5909667541557263E-2"/>
          <c:y val="3.703703703703703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285897402359589"/>
          <c:y val="0.12890498687664043"/>
          <c:w val="0.84277779231084482"/>
          <c:h val="0.62475940507436567"/>
        </c:manualLayout>
      </c:layout>
      <c:lineChart>
        <c:grouping val="standard"/>
        <c:varyColors val="0"/>
        <c:ser>
          <c:idx val="0"/>
          <c:order val="0"/>
          <c:tx>
            <c:strRef>
              <c:f>Arkusz3!$B$2</c:f>
              <c:strCache>
                <c:ptCount val="1"/>
                <c:pt idx="0">
                  <c:v>kobiety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8.5630249975978456E-2"/>
                  <c:y val="-1.9018531774437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AF-4072-A10D-430BD84EE2C9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AF-4072-A10D-430BD84EE2C9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AF-4072-A10D-430BD84EE2C9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AF-4072-A10D-430BD84EE2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Arkusz3!$A$3:$A$7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Arkusz3!$B$3:$B$7</c:f>
              <c:numCache>
                <c:formatCode>0</c:formatCode>
                <c:ptCount val="5"/>
                <c:pt idx="0">
                  <c:v>395</c:v>
                </c:pt>
                <c:pt idx="1">
                  <c:v>395.25</c:v>
                </c:pt>
                <c:pt idx="2">
                  <c:v>437</c:v>
                </c:pt>
                <c:pt idx="3">
                  <c:v>435</c:v>
                </c:pt>
                <c:pt idx="4">
                  <c:v>445.75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7AF-4072-A10D-430BD84EE2C9}"/>
            </c:ext>
          </c:extLst>
        </c:ser>
        <c:ser>
          <c:idx val="1"/>
          <c:order val="1"/>
          <c:tx>
            <c:strRef>
              <c:f>Arkusz3!$C$2</c:f>
              <c:strCache>
                <c:ptCount val="1"/>
                <c:pt idx="0">
                  <c:v>mężczyźni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8.6549707602339196E-2"/>
                  <c:y val="-2.0000000000000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AF-4072-A10D-430BD84EE2C9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7AF-4072-A10D-430BD84EE2C9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7AF-4072-A10D-430BD84EE2C9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7AF-4072-A10D-430BD84EE2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Arkusz3!$A$3:$A$7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Arkusz3!$C$3:$C$7</c:f>
              <c:numCache>
                <c:formatCode>0</c:formatCode>
                <c:ptCount val="5"/>
                <c:pt idx="0">
                  <c:v>499</c:v>
                </c:pt>
                <c:pt idx="1">
                  <c:v>506.75</c:v>
                </c:pt>
                <c:pt idx="2">
                  <c:v>558</c:v>
                </c:pt>
                <c:pt idx="3">
                  <c:v>551</c:v>
                </c:pt>
                <c:pt idx="4">
                  <c:v>562.75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07AF-4072-A10D-430BD84EE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356032"/>
        <c:axId val="201357952"/>
      </c:lineChart>
      <c:catAx>
        <c:axId val="201356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110" b="0" i="0" baseline="0">
                    <a:solidFill>
                      <a:sysClr val="windowText" lastClr="000000"/>
                    </a:solidFill>
                  </a:rPr>
                  <a:t>lata</a:t>
                </a:r>
              </a:p>
            </c:rich>
          </c:tx>
          <c:layout>
            <c:manualLayout>
              <c:xMode val="edge"/>
              <c:yMode val="edge"/>
              <c:x val="0.93151496062992123"/>
              <c:y val="0.6611492975142813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1357952"/>
        <c:crosses val="autoZero"/>
        <c:auto val="1"/>
        <c:lblAlgn val="ctr"/>
        <c:lblOffset val="100"/>
        <c:noMultiLvlLbl val="0"/>
      </c:catAx>
      <c:valAx>
        <c:axId val="201357952"/>
        <c:scaling>
          <c:orientation val="minMax"/>
          <c:min val="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135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200" b="1"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10925327561147"/>
          <c:y val="3.9773472299365072E-2"/>
          <c:w val="0.82527675370058518"/>
          <c:h val="0.7195735180405354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'Wykresy(3)'!$E$30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'Wykresy(3)'!$F$29:$K$29</c:f>
              <c:strCach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30 IV 2018</c:v>
                </c:pt>
              </c:strCache>
            </c:strRef>
          </c:cat>
          <c:val>
            <c:numRef>
              <c:f>'Wykresy(3)'!$F$30:$K$30</c:f>
              <c:numCache>
                <c:formatCode>General</c:formatCode>
                <c:ptCount val="6"/>
                <c:pt idx="0">
                  <c:v>62675</c:v>
                </c:pt>
                <c:pt idx="1">
                  <c:v>54077</c:v>
                </c:pt>
                <c:pt idx="2">
                  <c:v>44573</c:v>
                </c:pt>
                <c:pt idx="3">
                  <c:v>38481</c:v>
                </c:pt>
                <c:pt idx="4">
                  <c:v>30909</c:v>
                </c:pt>
                <c:pt idx="5">
                  <c:v>29547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8C-4C2C-87BB-36744290A807}"/>
            </c:ext>
          </c:extLst>
        </c:ser>
        <c:ser>
          <c:idx val="1"/>
          <c:order val="1"/>
          <c:tx>
            <c:strRef>
              <c:f>'Wykresy(3)'!$E$31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'Wykresy(3)'!$F$29:$K$29</c:f>
              <c:strCach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30 IV 2018</c:v>
                </c:pt>
              </c:strCache>
            </c:strRef>
          </c:cat>
          <c:val>
            <c:numRef>
              <c:f>'Wykresy(3)'!$F$31:$K$31</c:f>
              <c:numCache>
                <c:formatCode>General</c:formatCode>
                <c:ptCount val="6"/>
                <c:pt idx="0">
                  <c:v>51473</c:v>
                </c:pt>
                <c:pt idx="1">
                  <c:v>42675</c:v>
                </c:pt>
                <c:pt idx="2">
                  <c:v>33089</c:v>
                </c:pt>
                <c:pt idx="3">
                  <c:v>25651</c:v>
                </c:pt>
                <c:pt idx="4">
                  <c:v>18744</c:v>
                </c:pt>
                <c:pt idx="5">
                  <c:v>18468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8C-4C2C-87BB-36744290A8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1548928"/>
        <c:axId val="201550848"/>
      </c:barChart>
      <c:catAx>
        <c:axId val="2015489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lata</a:t>
                </a:r>
              </a:p>
            </c:rich>
          </c:tx>
          <c:layout>
            <c:manualLayout>
              <c:xMode val="edge"/>
              <c:yMode val="edge"/>
              <c:x val="0.93397195292784929"/>
              <c:y val="0.7871963019547929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1550848"/>
        <c:crosses val="autoZero"/>
        <c:auto val="1"/>
        <c:lblAlgn val="ctr"/>
        <c:lblOffset val="100"/>
        <c:noMultiLvlLbl val="0"/>
      </c:catAx>
      <c:valAx>
        <c:axId val="20155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154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025590551181108E-2"/>
          <c:y val="0.18560185185185185"/>
          <c:w val="0.83046202239987177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'[Wskaźniki art.xls]Wykresy(3)'!$H$5:$M$5</c:f>
              <c:strCach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30 IV 2018</c:v>
                </c:pt>
              </c:strCache>
            </c:strRef>
          </c:tx>
          <c:spPr>
            <a:solidFill>
              <a:srgbClr val="FF3300"/>
            </a:solidFill>
            <a:ln>
              <a:solidFill>
                <a:schemeClr val="accent1"/>
              </a:solidFill>
            </a:ln>
            <a:effectLst>
              <a:outerShdw blurRad="76200" dist="12700" dir="8100000" sy="-23000" kx="800400" algn="br" rotWithShape="0">
                <a:srgbClr val="FFFF00">
                  <a:alpha val="29000"/>
                </a:srgbClr>
              </a:outerShdw>
              <a:softEdge rad="12700"/>
            </a:effectLst>
            <a:scene3d>
              <a:camera prst="orthographicFront"/>
              <a:lightRig rig="sunset" dir="t"/>
            </a:scene3d>
            <a:sp3d prstMaterial="translucentPowder">
              <a:bevelT prst="relaxedInset"/>
            </a:sp3d>
          </c:spPr>
          <c:invertIfNegative val="0"/>
          <c:dLbls>
            <c:numFmt formatCode="0.0%" sourceLinked="0"/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'[Wskaźniki art.xls]Wykresy(3)'!$H$5:$M$5</c:f>
              <c:strCach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30 IV 2018</c:v>
                </c:pt>
              </c:strCache>
            </c:strRef>
          </c:cat>
          <c:val>
            <c:numRef>
              <c:f>'[Wskaźniki art.xls]udział kobiet - dziecko'!$B$7:$G$7</c:f>
              <c:numCache>
                <c:formatCode>0.0%</c:formatCode>
                <c:ptCount val="6"/>
                <c:pt idx="0">
                  <c:v>0.22497008376545671</c:v>
                </c:pt>
                <c:pt idx="1">
                  <c:v>0.24907076945836493</c:v>
                </c:pt>
                <c:pt idx="2">
                  <c:v>0.26639445404168444</c:v>
                </c:pt>
                <c:pt idx="3">
                  <c:v>0.29549647878173646</c:v>
                </c:pt>
                <c:pt idx="4">
                  <c:v>0.32236565401662948</c:v>
                </c:pt>
                <c:pt idx="5">
                  <c:v>0.33045656073374624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14-4000-B149-CB081AD61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13"/>
        <c:axId val="201883648"/>
        <c:axId val="201885568"/>
      </c:barChart>
      <c:catAx>
        <c:axId val="201883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lata</a:t>
                </a:r>
              </a:p>
            </c:rich>
          </c:tx>
          <c:layout>
            <c:manualLayout>
              <c:xMode val="edge"/>
              <c:yMode val="edge"/>
              <c:x val="0.94462022399871781"/>
              <c:y val="0.9110877806940799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1885568"/>
        <c:crosses val="autoZero"/>
        <c:auto val="1"/>
        <c:lblAlgn val="ctr"/>
        <c:lblOffset val="100"/>
        <c:noMultiLvlLbl val="0"/>
      </c:catAx>
      <c:valAx>
        <c:axId val="20188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18836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EB17-B218-4BDA-8A1E-489D130C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1309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Żabińska</dc:creator>
  <cp:lastModifiedBy>Dagmara Maciejewska</cp:lastModifiedBy>
  <cp:revision>3</cp:revision>
  <cp:lastPrinted>2018-06-07T06:50:00Z</cp:lastPrinted>
  <dcterms:created xsi:type="dcterms:W3CDTF">2018-06-20T12:48:00Z</dcterms:created>
  <dcterms:modified xsi:type="dcterms:W3CDTF">2018-06-20T13:13:00Z</dcterms:modified>
</cp:coreProperties>
</file>